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569B39" w14:textId="47E67BDB" w:rsidR="00777CC5" w:rsidRDefault="005F3A30" w:rsidP="00D7497D">
      <w:pPr>
        <w:rPr>
          <w:rFonts w:ascii="Arial Black" w:hAnsi="Arial Black"/>
          <w:b/>
          <w:color w:val="FF0000"/>
        </w:rPr>
      </w:pPr>
      <w:r>
        <w:rPr>
          <w:noProof/>
          <w:lang w:eastAsia="en-GB"/>
        </w:rPr>
        <w:drawing>
          <wp:inline distT="0" distB="0" distL="0" distR="0" wp14:anchorId="38B5C99C" wp14:editId="31043792">
            <wp:extent cx="2009775" cy="495300"/>
            <wp:effectExtent l="0" t="0" r="9525" b="0"/>
            <wp:docPr id="1" name="Picture 1" descr="Harrow Council Logo" title="Harrow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rrow Council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09775" cy="495300"/>
                    </a:xfrm>
                    <a:prstGeom prst="rect">
                      <a:avLst/>
                    </a:prstGeom>
                    <a:noFill/>
                    <a:ln>
                      <a:noFill/>
                    </a:ln>
                  </pic:spPr>
                </pic:pic>
              </a:graphicData>
            </a:graphic>
          </wp:inline>
        </w:drawing>
      </w:r>
    </w:p>
    <w:tbl>
      <w:tblPr>
        <w:tblW w:w="3130" w:type="dxa"/>
        <w:tblInd w:w="5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30"/>
      </w:tblGrid>
      <w:tr w:rsidR="00A71F05" w14:paraId="2FCC6DB3" w14:textId="77777777">
        <w:trPr>
          <w:trHeight w:val="777"/>
        </w:trPr>
        <w:tc>
          <w:tcPr>
            <w:tcW w:w="3130" w:type="dxa"/>
          </w:tcPr>
          <w:p w14:paraId="1BD95A3D" w14:textId="668F5838" w:rsidR="00A71F05" w:rsidRDefault="00A71F05" w:rsidP="00D4290D">
            <w:pPr>
              <w:pStyle w:val="Heading8"/>
              <w:rPr>
                <w:i w:val="0"/>
                <w:iCs w:val="0"/>
              </w:rPr>
            </w:pPr>
            <w:r w:rsidRPr="00CF184E">
              <w:rPr>
                <w:rFonts w:ascii="Arial Black" w:hAnsi="Arial Black"/>
                <w:i w:val="0"/>
                <w:iCs w:val="0"/>
              </w:rPr>
              <w:t>Ref</w:t>
            </w:r>
            <w:r w:rsidRPr="00CF184E">
              <w:rPr>
                <w:rFonts w:ascii="Arial Black" w:hAnsi="Arial Black"/>
              </w:rPr>
              <w:t xml:space="preserve"> </w:t>
            </w:r>
            <w:r w:rsidRPr="00CF184E">
              <w:rPr>
                <w:rFonts w:ascii="Arial Black" w:hAnsi="Arial Black"/>
                <w:i w:val="0"/>
                <w:iCs w:val="0"/>
              </w:rPr>
              <w:t>PHD</w:t>
            </w:r>
            <w:r>
              <w:rPr>
                <w:i w:val="0"/>
                <w:iCs w:val="0"/>
              </w:rPr>
              <w:t xml:space="preserve"> </w:t>
            </w:r>
            <w:r w:rsidRPr="00A71F05">
              <w:rPr>
                <w:rFonts w:ascii="Arial" w:hAnsi="Arial" w:cs="Arial"/>
                <w:i w:val="0"/>
                <w:iCs w:val="0"/>
              </w:rPr>
              <w:t>(</w:t>
            </w:r>
            <w:r w:rsidR="003820B7">
              <w:rPr>
                <w:rFonts w:ascii="Arial" w:hAnsi="Arial" w:cs="Arial"/>
                <w:i w:val="0"/>
                <w:iCs w:val="0"/>
              </w:rPr>
              <w:t>011 - 20/21</w:t>
            </w:r>
            <w:r w:rsidRPr="00A71F05">
              <w:rPr>
                <w:rFonts w:ascii="Arial" w:hAnsi="Arial" w:cs="Arial"/>
                <w:i w:val="0"/>
                <w:iCs w:val="0"/>
              </w:rPr>
              <w:t>)</w:t>
            </w:r>
          </w:p>
          <w:p w14:paraId="7C67A907" w14:textId="77777777" w:rsidR="00A71F05" w:rsidRDefault="00A71F05" w:rsidP="00D4290D">
            <w:pPr>
              <w:rPr>
                <w:i/>
              </w:rPr>
            </w:pPr>
          </w:p>
        </w:tc>
      </w:tr>
    </w:tbl>
    <w:p w14:paraId="5099451E" w14:textId="77777777" w:rsidR="00A71F05" w:rsidRDefault="00A71F05" w:rsidP="00A71F05"/>
    <w:tbl>
      <w:tblPr>
        <w:tblW w:w="9084" w:type="dxa"/>
        <w:tblLayout w:type="fixed"/>
        <w:tblCellMar>
          <w:left w:w="115" w:type="dxa"/>
          <w:right w:w="115" w:type="dxa"/>
        </w:tblCellMar>
        <w:tblLook w:val="0000" w:firstRow="0" w:lastRow="0" w:firstColumn="0" w:lastColumn="0" w:noHBand="0" w:noVBand="0"/>
      </w:tblPr>
      <w:tblGrid>
        <w:gridCol w:w="7"/>
        <w:gridCol w:w="3467"/>
        <w:gridCol w:w="5058"/>
        <w:gridCol w:w="552"/>
      </w:tblGrid>
      <w:tr w:rsidR="00A71F05" w:rsidRPr="007D7E0B" w14:paraId="117BCE35" w14:textId="77777777" w:rsidTr="00D7497D">
        <w:tc>
          <w:tcPr>
            <w:tcW w:w="3474" w:type="dxa"/>
            <w:gridSpan w:val="2"/>
            <w:tcBorders>
              <w:bottom w:val="single" w:sz="18" w:space="0" w:color="auto"/>
            </w:tcBorders>
          </w:tcPr>
          <w:p w14:paraId="22FD689E" w14:textId="77777777" w:rsidR="00A71F05" w:rsidRPr="003F7AEE" w:rsidRDefault="00A6606C" w:rsidP="00A6606C">
            <w:pPr>
              <w:pStyle w:val="Heading1"/>
            </w:pPr>
            <w:r>
              <w:t>Report f</w:t>
            </w:r>
            <w:r w:rsidRPr="003F7AEE">
              <w:t>or:</w:t>
            </w:r>
          </w:p>
          <w:p w14:paraId="6EA32B45" w14:textId="77777777" w:rsidR="00A71F05" w:rsidRPr="00E026EE" w:rsidRDefault="00A71F05" w:rsidP="00D4290D">
            <w:pPr>
              <w:rPr>
                <w:rFonts w:ascii="Arial Black" w:hAnsi="Arial Black" w:cs="Arial"/>
                <w:sz w:val="36"/>
                <w:szCs w:val="36"/>
              </w:rPr>
            </w:pPr>
          </w:p>
        </w:tc>
        <w:tc>
          <w:tcPr>
            <w:tcW w:w="5610" w:type="dxa"/>
            <w:gridSpan w:val="2"/>
            <w:tcBorders>
              <w:bottom w:val="single" w:sz="18" w:space="0" w:color="auto"/>
            </w:tcBorders>
          </w:tcPr>
          <w:p w14:paraId="04BFE6EA" w14:textId="1DED7A51" w:rsidR="00A71F05" w:rsidRDefault="00CD15A0" w:rsidP="00A6606C">
            <w:pPr>
              <w:pStyle w:val="Heading1"/>
            </w:pPr>
            <w:r>
              <w:t>Decision by Leader of the Council</w:t>
            </w:r>
          </w:p>
          <w:p w14:paraId="510A4166" w14:textId="77777777" w:rsidR="001E347C" w:rsidRPr="00E026EE" w:rsidRDefault="001E347C" w:rsidP="00D4290D">
            <w:pPr>
              <w:rPr>
                <w:rFonts w:ascii="Arial Black" w:hAnsi="Arial Black" w:cs="Arial"/>
                <w:sz w:val="36"/>
                <w:szCs w:val="36"/>
              </w:rPr>
            </w:pPr>
          </w:p>
        </w:tc>
      </w:tr>
      <w:tr w:rsidR="00A71F05" w:rsidRPr="007D7E0B" w14:paraId="04CAB325" w14:textId="77777777" w:rsidTr="00D7497D">
        <w:tc>
          <w:tcPr>
            <w:tcW w:w="3474" w:type="dxa"/>
            <w:gridSpan w:val="2"/>
          </w:tcPr>
          <w:p w14:paraId="55A28D29" w14:textId="77777777" w:rsidR="00A71F05" w:rsidRPr="007D7E0B" w:rsidRDefault="00A71F05" w:rsidP="00D4290D">
            <w:pPr>
              <w:pStyle w:val="Infotext"/>
              <w:rPr>
                <w:rFonts w:ascii="Arial Black" w:hAnsi="Arial Black" w:cs="Arial"/>
              </w:rPr>
            </w:pPr>
            <w:r w:rsidRPr="007D7E0B">
              <w:rPr>
                <w:rFonts w:ascii="Arial Black" w:hAnsi="Arial Black" w:cs="Arial"/>
              </w:rPr>
              <w:t>Subject:</w:t>
            </w:r>
          </w:p>
          <w:p w14:paraId="580E49CA" w14:textId="77777777" w:rsidR="00A71F05" w:rsidRPr="007D7E0B" w:rsidRDefault="00A71F05" w:rsidP="00D4290D">
            <w:pPr>
              <w:pStyle w:val="Infotext"/>
              <w:rPr>
                <w:rFonts w:ascii="Arial Black" w:hAnsi="Arial Black"/>
              </w:rPr>
            </w:pPr>
          </w:p>
        </w:tc>
        <w:tc>
          <w:tcPr>
            <w:tcW w:w="5610" w:type="dxa"/>
            <w:gridSpan w:val="2"/>
          </w:tcPr>
          <w:p w14:paraId="3731B9CD" w14:textId="77777777" w:rsidR="006477C4" w:rsidRPr="003820B7" w:rsidRDefault="006477C4" w:rsidP="00A71F05">
            <w:pPr>
              <w:rPr>
                <w:rFonts w:ascii="Arial Black" w:hAnsi="Arial Black" w:cs="Arial"/>
                <w:sz w:val="28"/>
                <w:szCs w:val="28"/>
              </w:rPr>
            </w:pPr>
            <w:r w:rsidRPr="003820B7">
              <w:rPr>
                <w:rFonts w:ascii="Arial Black" w:hAnsi="Arial Black" w:cs="Arial"/>
                <w:sz w:val="28"/>
                <w:szCs w:val="28"/>
              </w:rPr>
              <w:t xml:space="preserve">Public Sector Decarbonisation Scheme Grant Funding </w:t>
            </w:r>
          </w:p>
          <w:p w14:paraId="09B1CB23" w14:textId="77777777" w:rsidR="00A71F05" w:rsidRPr="00596DDC" w:rsidRDefault="00A71F05" w:rsidP="006477C4">
            <w:pPr>
              <w:pStyle w:val="Infotext"/>
              <w:rPr>
                <w:rFonts w:cs="Arial"/>
                <w:sz w:val="24"/>
                <w:szCs w:val="24"/>
              </w:rPr>
            </w:pPr>
          </w:p>
        </w:tc>
      </w:tr>
      <w:tr w:rsidR="00A71F05" w14:paraId="1A126E2B" w14:textId="77777777" w:rsidTr="00D7497D">
        <w:tc>
          <w:tcPr>
            <w:tcW w:w="3474" w:type="dxa"/>
            <w:gridSpan w:val="2"/>
            <w:tcBorders>
              <w:top w:val="single" w:sz="18" w:space="0" w:color="auto"/>
            </w:tcBorders>
          </w:tcPr>
          <w:p w14:paraId="6F47331C" w14:textId="77777777" w:rsidR="00A71F05" w:rsidRPr="00CF184E" w:rsidRDefault="00A71F05" w:rsidP="00D4290D">
            <w:pPr>
              <w:rPr>
                <w:rFonts w:ascii="Arial Black" w:hAnsi="Arial Black" w:cs="Arial"/>
                <w:sz w:val="28"/>
              </w:rPr>
            </w:pPr>
            <w:r w:rsidRPr="00CF184E">
              <w:rPr>
                <w:rFonts w:ascii="Arial Black" w:hAnsi="Arial Black" w:cs="Arial"/>
                <w:sz w:val="28"/>
              </w:rPr>
              <w:t>Responsible Officer:</w:t>
            </w:r>
          </w:p>
          <w:p w14:paraId="19809A82" w14:textId="77777777" w:rsidR="00A71F05" w:rsidRPr="00CF184E" w:rsidRDefault="00A71F05" w:rsidP="00D4290D">
            <w:pPr>
              <w:rPr>
                <w:rFonts w:ascii="Arial Black" w:hAnsi="Arial Black" w:cs="Arial"/>
                <w:sz w:val="28"/>
              </w:rPr>
            </w:pPr>
          </w:p>
        </w:tc>
        <w:tc>
          <w:tcPr>
            <w:tcW w:w="5610" w:type="dxa"/>
            <w:gridSpan w:val="2"/>
            <w:tcBorders>
              <w:top w:val="single" w:sz="18" w:space="0" w:color="auto"/>
            </w:tcBorders>
          </w:tcPr>
          <w:p w14:paraId="75B41EE7" w14:textId="77777777" w:rsidR="00A71F05" w:rsidRPr="00596DDC" w:rsidRDefault="006477C4" w:rsidP="00D4290D">
            <w:pPr>
              <w:pStyle w:val="Infotext"/>
              <w:rPr>
                <w:rFonts w:cs="Arial"/>
                <w:sz w:val="24"/>
                <w:szCs w:val="24"/>
              </w:rPr>
            </w:pPr>
            <w:r>
              <w:rPr>
                <w:rFonts w:cs="Arial"/>
                <w:sz w:val="24"/>
                <w:szCs w:val="24"/>
              </w:rPr>
              <w:t xml:space="preserve">Paul Walker - Corporate Director, Community </w:t>
            </w:r>
          </w:p>
        </w:tc>
      </w:tr>
      <w:tr w:rsidR="00A71F05" w14:paraId="75D304B9" w14:textId="77777777" w:rsidTr="00D7497D">
        <w:tc>
          <w:tcPr>
            <w:tcW w:w="3474" w:type="dxa"/>
            <w:gridSpan w:val="2"/>
          </w:tcPr>
          <w:p w14:paraId="501930FA" w14:textId="77777777" w:rsidR="00A71F05" w:rsidRPr="00CF184E" w:rsidRDefault="00A71F05" w:rsidP="00D4290D">
            <w:pPr>
              <w:rPr>
                <w:rFonts w:ascii="Arial Black" w:hAnsi="Arial Black" w:cs="Arial"/>
                <w:sz w:val="28"/>
              </w:rPr>
            </w:pPr>
            <w:r w:rsidRPr="00CF184E">
              <w:rPr>
                <w:rFonts w:ascii="Arial Black" w:hAnsi="Arial Black" w:cs="Arial"/>
                <w:sz w:val="28"/>
              </w:rPr>
              <w:t>Portfolio Holder:</w:t>
            </w:r>
          </w:p>
          <w:p w14:paraId="7178B9FD" w14:textId="77777777" w:rsidR="00A71F05" w:rsidRPr="00CF184E" w:rsidRDefault="00A71F05" w:rsidP="00D4290D">
            <w:pPr>
              <w:rPr>
                <w:rFonts w:ascii="Arial Black" w:hAnsi="Arial Black" w:cs="Arial"/>
                <w:sz w:val="28"/>
              </w:rPr>
            </w:pPr>
          </w:p>
        </w:tc>
        <w:tc>
          <w:tcPr>
            <w:tcW w:w="5610" w:type="dxa"/>
            <w:gridSpan w:val="2"/>
          </w:tcPr>
          <w:p w14:paraId="3F841094" w14:textId="77777777" w:rsidR="00A71F05" w:rsidRPr="00596DDC" w:rsidRDefault="006477C4" w:rsidP="00D4290D">
            <w:pPr>
              <w:rPr>
                <w:rFonts w:cs="Arial"/>
                <w:szCs w:val="24"/>
              </w:rPr>
            </w:pPr>
            <w:r>
              <w:rPr>
                <w:rFonts w:cs="Arial"/>
                <w:szCs w:val="24"/>
              </w:rPr>
              <w:t xml:space="preserve">Cllr Graham Henson, </w:t>
            </w:r>
            <w:r w:rsidR="0084204B" w:rsidRPr="00596DDC">
              <w:rPr>
                <w:rFonts w:cs="Arial"/>
                <w:szCs w:val="24"/>
              </w:rPr>
              <w:t>Leader of the Council</w:t>
            </w:r>
            <w:r w:rsidR="00A71F05" w:rsidRPr="00596DDC">
              <w:rPr>
                <w:rFonts w:cs="Arial"/>
                <w:szCs w:val="24"/>
              </w:rPr>
              <w:t xml:space="preserve"> </w:t>
            </w:r>
          </w:p>
          <w:p w14:paraId="487CC65F" w14:textId="77777777" w:rsidR="00A71F05" w:rsidRPr="00596DDC" w:rsidRDefault="00A71F05" w:rsidP="00D4290D">
            <w:pPr>
              <w:rPr>
                <w:rFonts w:cs="Arial"/>
                <w:szCs w:val="24"/>
              </w:rPr>
            </w:pPr>
          </w:p>
        </w:tc>
      </w:tr>
      <w:tr w:rsidR="00A71F05" w:rsidRPr="007D7E0B" w14:paraId="2560B310" w14:textId="77777777" w:rsidTr="00D7497D">
        <w:tc>
          <w:tcPr>
            <w:tcW w:w="3474" w:type="dxa"/>
            <w:gridSpan w:val="2"/>
          </w:tcPr>
          <w:p w14:paraId="3B6921B9" w14:textId="77777777" w:rsidR="00A71F05" w:rsidRPr="007D7E0B" w:rsidRDefault="00A71F05" w:rsidP="00D4290D">
            <w:pPr>
              <w:pStyle w:val="Infotext"/>
              <w:rPr>
                <w:rFonts w:ascii="Arial Black" w:hAnsi="Arial Black" w:cs="Arial"/>
              </w:rPr>
            </w:pPr>
            <w:r w:rsidRPr="007D7E0B">
              <w:rPr>
                <w:rFonts w:ascii="Arial Black" w:hAnsi="Arial Black" w:cs="Arial"/>
              </w:rPr>
              <w:t>Key Decision:</w:t>
            </w:r>
          </w:p>
        </w:tc>
        <w:tc>
          <w:tcPr>
            <w:tcW w:w="5610" w:type="dxa"/>
            <w:gridSpan w:val="2"/>
          </w:tcPr>
          <w:p w14:paraId="5D61123E" w14:textId="69CCC3DB" w:rsidR="00A71F05" w:rsidRPr="00596DDC" w:rsidRDefault="00A71F05" w:rsidP="00D4290D">
            <w:pPr>
              <w:pStyle w:val="Infotext"/>
              <w:rPr>
                <w:rFonts w:cs="Arial"/>
                <w:sz w:val="24"/>
                <w:szCs w:val="24"/>
              </w:rPr>
            </w:pPr>
            <w:r w:rsidRPr="00596DDC">
              <w:rPr>
                <w:rFonts w:cs="Arial"/>
                <w:sz w:val="24"/>
                <w:szCs w:val="24"/>
              </w:rPr>
              <w:t>Yes</w:t>
            </w:r>
            <w:r w:rsidR="003820B7">
              <w:rPr>
                <w:rFonts w:cs="Arial"/>
                <w:sz w:val="24"/>
                <w:szCs w:val="24"/>
              </w:rPr>
              <w:t xml:space="preserve"> - r</w:t>
            </w:r>
            <w:r w:rsidR="006477C4">
              <w:rPr>
                <w:rFonts w:cs="Arial"/>
                <w:sz w:val="24"/>
                <w:szCs w:val="24"/>
              </w:rPr>
              <w:t xml:space="preserve">eceipt </w:t>
            </w:r>
            <w:r w:rsidR="00803D16">
              <w:rPr>
                <w:rFonts w:cs="Arial"/>
                <w:sz w:val="24"/>
                <w:szCs w:val="24"/>
              </w:rPr>
              <w:t xml:space="preserve">and use of </w:t>
            </w:r>
            <w:r w:rsidR="006477C4">
              <w:rPr>
                <w:rFonts w:cs="Arial"/>
                <w:sz w:val="24"/>
                <w:szCs w:val="24"/>
              </w:rPr>
              <w:t xml:space="preserve">capital </w:t>
            </w:r>
            <w:r w:rsidR="00DD7BD9">
              <w:rPr>
                <w:rFonts w:cs="Arial"/>
                <w:sz w:val="24"/>
                <w:szCs w:val="24"/>
              </w:rPr>
              <w:t xml:space="preserve">grant </w:t>
            </w:r>
            <w:r w:rsidR="006477C4">
              <w:rPr>
                <w:rFonts w:cs="Arial"/>
                <w:sz w:val="24"/>
                <w:szCs w:val="24"/>
              </w:rPr>
              <w:t xml:space="preserve">funding in excess of £1 million. </w:t>
            </w:r>
          </w:p>
          <w:p w14:paraId="7005B0E8" w14:textId="77777777" w:rsidR="00A71F05" w:rsidRPr="00596DDC" w:rsidRDefault="00A71F05" w:rsidP="00D4290D">
            <w:pPr>
              <w:pStyle w:val="Infotext"/>
              <w:rPr>
                <w:rFonts w:cs="Arial"/>
                <w:sz w:val="24"/>
                <w:szCs w:val="24"/>
              </w:rPr>
            </w:pPr>
          </w:p>
        </w:tc>
      </w:tr>
      <w:tr w:rsidR="00A71F05" w14:paraId="45220486" w14:textId="77777777" w:rsidTr="00D7497D">
        <w:tc>
          <w:tcPr>
            <w:tcW w:w="3474" w:type="dxa"/>
            <w:gridSpan w:val="2"/>
          </w:tcPr>
          <w:p w14:paraId="09C22D2E" w14:textId="77777777" w:rsidR="00A71F05" w:rsidRPr="00CF184E" w:rsidRDefault="00A71F05" w:rsidP="00D4290D">
            <w:pPr>
              <w:rPr>
                <w:rFonts w:ascii="Arial Black" w:hAnsi="Arial Black" w:cs="Arial"/>
                <w:sz w:val="28"/>
              </w:rPr>
            </w:pPr>
            <w:r w:rsidRPr="00CF184E">
              <w:rPr>
                <w:rFonts w:ascii="Arial Black" w:hAnsi="Arial Black" w:cs="Arial"/>
                <w:sz w:val="28"/>
              </w:rPr>
              <w:t>Power to be exercised:</w:t>
            </w:r>
          </w:p>
          <w:p w14:paraId="794BF24F" w14:textId="77777777" w:rsidR="00A71F05" w:rsidRPr="00CF184E" w:rsidRDefault="00A71F05" w:rsidP="00D4290D">
            <w:pPr>
              <w:rPr>
                <w:rFonts w:ascii="Arial Black" w:hAnsi="Arial Black" w:cs="Arial"/>
                <w:sz w:val="28"/>
              </w:rPr>
            </w:pPr>
          </w:p>
        </w:tc>
        <w:tc>
          <w:tcPr>
            <w:tcW w:w="5610" w:type="dxa"/>
            <w:gridSpan w:val="2"/>
          </w:tcPr>
          <w:p w14:paraId="719BAE2B" w14:textId="3E76DDAB" w:rsidR="00A71F05" w:rsidRPr="00596DDC" w:rsidRDefault="00334974" w:rsidP="00D4290D">
            <w:pPr>
              <w:rPr>
                <w:rFonts w:cs="Arial"/>
                <w:szCs w:val="24"/>
              </w:rPr>
            </w:pPr>
            <w:r w:rsidRPr="00E52BD4">
              <w:rPr>
                <w:rFonts w:cs="Arial"/>
                <w:szCs w:val="24"/>
              </w:rPr>
              <w:t xml:space="preserve">Paragraph 3 of the Appendix to the </w:t>
            </w:r>
            <w:r w:rsidR="00A71F05" w:rsidRPr="00E52BD4">
              <w:rPr>
                <w:rFonts w:cs="Arial"/>
                <w:szCs w:val="24"/>
              </w:rPr>
              <w:t>Executive Procedure Rules</w:t>
            </w:r>
            <w:r w:rsidRPr="00E52BD4">
              <w:rPr>
                <w:rFonts w:cs="Arial"/>
                <w:szCs w:val="24"/>
              </w:rPr>
              <w:t>, Part 4D of the Constitution</w:t>
            </w:r>
          </w:p>
          <w:p w14:paraId="7C758FFE" w14:textId="77777777" w:rsidR="00A71F05" w:rsidRPr="00596DDC" w:rsidRDefault="00A71F05" w:rsidP="00D4290D">
            <w:pPr>
              <w:rPr>
                <w:rFonts w:cs="Arial"/>
                <w:szCs w:val="24"/>
              </w:rPr>
            </w:pPr>
          </w:p>
        </w:tc>
      </w:tr>
      <w:tr w:rsidR="00A71F05" w14:paraId="2B8B4529" w14:textId="77777777" w:rsidTr="00D7497D">
        <w:tc>
          <w:tcPr>
            <w:tcW w:w="3474" w:type="dxa"/>
            <w:gridSpan w:val="2"/>
          </w:tcPr>
          <w:p w14:paraId="45146F42" w14:textId="77777777" w:rsidR="00A71F05" w:rsidRPr="00CF184E" w:rsidRDefault="00A71F05" w:rsidP="00D4290D">
            <w:pPr>
              <w:pStyle w:val="Infotext"/>
              <w:rPr>
                <w:rFonts w:ascii="Arial Black" w:hAnsi="Arial Black" w:cs="Arial"/>
              </w:rPr>
            </w:pPr>
            <w:r w:rsidRPr="00CF184E">
              <w:rPr>
                <w:rFonts w:ascii="Arial Black" w:hAnsi="Arial Black" w:cs="Arial"/>
              </w:rPr>
              <w:t>Exempt:</w:t>
            </w:r>
          </w:p>
          <w:p w14:paraId="3BFD0401" w14:textId="77777777" w:rsidR="00A71F05" w:rsidRPr="00CF184E" w:rsidRDefault="00A71F05" w:rsidP="00D4290D">
            <w:pPr>
              <w:pStyle w:val="Infotext"/>
              <w:rPr>
                <w:rFonts w:ascii="Arial Black" w:hAnsi="Arial Black" w:cs="Arial"/>
              </w:rPr>
            </w:pPr>
          </w:p>
        </w:tc>
        <w:tc>
          <w:tcPr>
            <w:tcW w:w="5610" w:type="dxa"/>
            <w:gridSpan w:val="2"/>
          </w:tcPr>
          <w:p w14:paraId="748F69B6" w14:textId="77777777" w:rsidR="00A71F05" w:rsidRPr="00596DDC" w:rsidRDefault="00A71F05" w:rsidP="00D4290D">
            <w:pPr>
              <w:pStyle w:val="Infotext"/>
              <w:rPr>
                <w:rFonts w:cs="Arial"/>
                <w:sz w:val="24"/>
                <w:szCs w:val="24"/>
              </w:rPr>
            </w:pPr>
            <w:r w:rsidRPr="00596DDC">
              <w:rPr>
                <w:rFonts w:cs="Arial"/>
                <w:sz w:val="24"/>
                <w:szCs w:val="24"/>
              </w:rPr>
              <w:t>No</w:t>
            </w:r>
            <w:r w:rsidR="0049672B" w:rsidRPr="00596DDC">
              <w:rPr>
                <w:rFonts w:cs="Arial"/>
                <w:sz w:val="24"/>
                <w:szCs w:val="24"/>
              </w:rPr>
              <w:t xml:space="preserve"> </w:t>
            </w:r>
          </w:p>
          <w:p w14:paraId="3CD752AB" w14:textId="77777777" w:rsidR="00A71F05" w:rsidRPr="00596DDC" w:rsidRDefault="00A71F05" w:rsidP="0084204B">
            <w:pPr>
              <w:pStyle w:val="Infotext"/>
              <w:rPr>
                <w:rFonts w:cs="Arial"/>
                <w:sz w:val="24"/>
                <w:szCs w:val="24"/>
              </w:rPr>
            </w:pPr>
          </w:p>
        </w:tc>
      </w:tr>
      <w:tr w:rsidR="0084204B" w14:paraId="1BBE8DBE" w14:textId="77777777" w:rsidTr="00D7497D">
        <w:tc>
          <w:tcPr>
            <w:tcW w:w="3474" w:type="dxa"/>
            <w:gridSpan w:val="2"/>
          </w:tcPr>
          <w:p w14:paraId="18E903F9" w14:textId="77777777" w:rsidR="0084204B" w:rsidRPr="00E52BD4" w:rsidRDefault="0084204B" w:rsidP="00CD7F86">
            <w:pPr>
              <w:spacing w:line="280" w:lineRule="exact"/>
              <w:rPr>
                <w:rFonts w:ascii="Arial Black" w:hAnsi="Arial Black" w:cs="Arial"/>
                <w:sz w:val="28"/>
              </w:rPr>
            </w:pPr>
            <w:r w:rsidRPr="00E52BD4">
              <w:rPr>
                <w:rFonts w:ascii="Arial Black" w:hAnsi="Arial Black" w:cs="Arial"/>
                <w:sz w:val="28"/>
              </w:rPr>
              <w:t>Urgent:</w:t>
            </w:r>
          </w:p>
          <w:p w14:paraId="3E4A2546" w14:textId="77777777" w:rsidR="0084204B" w:rsidRPr="00E52BD4" w:rsidRDefault="0084204B" w:rsidP="00CD7F86">
            <w:pPr>
              <w:spacing w:line="280" w:lineRule="exact"/>
              <w:rPr>
                <w:rFonts w:ascii="Arial Black" w:hAnsi="Arial Black" w:cs="Arial"/>
                <w:sz w:val="28"/>
              </w:rPr>
            </w:pPr>
          </w:p>
        </w:tc>
        <w:tc>
          <w:tcPr>
            <w:tcW w:w="5610" w:type="dxa"/>
            <w:gridSpan w:val="2"/>
          </w:tcPr>
          <w:p w14:paraId="3D84C2A6" w14:textId="77777777" w:rsidR="0084204B" w:rsidRPr="00E52BD4" w:rsidRDefault="0084204B" w:rsidP="006477C4">
            <w:pPr>
              <w:rPr>
                <w:rFonts w:cs="Arial"/>
                <w:szCs w:val="24"/>
              </w:rPr>
            </w:pPr>
            <w:r w:rsidRPr="00E52BD4">
              <w:rPr>
                <w:rFonts w:cs="Arial"/>
                <w:szCs w:val="24"/>
              </w:rPr>
              <w:t xml:space="preserve">Yes </w:t>
            </w:r>
          </w:p>
          <w:p w14:paraId="20CAB641" w14:textId="77777777" w:rsidR="0084204B" w:rsidRPr="00E52BD4" w:rsidRDefault="0084204B" w:rsidP="00E52BD4">
            <w:pPr>
              <w:rPr>
                <w:rFonts w:cs="Arial"/>
                <w:szCs w:val="24"/>
              </w:rPr>
            </w:pPr>
          </w:p>
        </w:tc>
      </w:tr>
      <w:tr w:rsidR="00D3348C" w14:paraId="6D9306DF" w14:textId="77777777" w:rsidTr="00D7497D">
        <w:tc>
          <w:tcPr>
            <w:tcW w:w="3474" w:type="dxa"/>
            <w:gridSpan w:val="2"/>
          </w:tcPr>
          <w:p w14:paraId="7850795A" w14:textId="77777777" w:rsidR="00D3348C" w:rsidRDefault="00D3348C" w:rsidP="00D4290D">
            <w:pPr>
              <w:pStyle w:val="Infotext"/>
              <w:rPr>
                <w:rFonts w:ascii="Arial Black" w:hAnsi="Arial Black" w:cs="Arial"/>
              </w:rPr>
            </w:pPr>
            <w:r>
              <w:rPr>
                <w:rFonts w:ascii="Arial Black" w:hAnsi="Arial Black" w:cs="Arial"/>
              </w:rPr>
              <w:t>Wards affected:</w:t>
            </w:r>
          </w:p>
          <w:p w14:paraId="424C6EE7" w14:textId="77777777" w:rsidR="00D3348C" w:rsidRPr="00CF184E" w:rsidRDefault="00D3348C" w:rsidP="00D4290D">
            <w:pPr>
              <w:pStyle w:val="Infotext"/>
              <w:rPr>
                <w:rFonts w:ascii="Arial Black" w:hAnsi="Arial Black" w:cs="Arial"/>
              </w:rPr>
            </w:pPr>
          </w:p>
        </w:tc>
        <w:tc>
          <w:tcPr>
            <w:tcW w:w="5610" w:type="dxa"/>
            <w:gridSpan w:val="2"/>
          </w:tcPr>
          <w:p w14:paraId="118D1CB5" w14:textId="40B88C0B" w:rsidR="00D3348C" w:rsidRPr="00BD79A0" w:rsidRDefault="002F04DD" w:rsidP="00A1507D">
            <w:pPr>
              <w:rPr>
                <w:rFonts w:cs="Arial"/>
                <w:szCs w:val="24"/>
                <w:highlight w:val="yellow"/>
              </w:rPr>
            </w:pPr>
            <w:r w:rsidRPr="00BD79A0">
              <w:rPr>
                <w:rFonts w:cs="Arial"/>
                <w:szCs w:val="24"/>
              </w:rPr>
              <w:t>Various</w:t>
            </w:r>
            <w:r w:rsidR="003C35FC" w:rsidRPr="00BD79A0">
              <w:rPr>
                <w:rFonts w:cs="Arial"/>
                <w:szCs w:val="24"/>
              </w:rPr>
              <w:t>, please see Appendix for list of sites</w:t>
            </w:r>
            <w:r w:rsidR="0070136D" w:rsidRPr="00BD79A0">
              <w:rPr>
                <w:rFonts w:cs="Arial"/>
                <w:szCs w:val="24"/>
              </w:rPr>
              <w:t xml:space="preserve"> </w:t>
            </w:r>
          </w:p>
        </w:tc>
      </w:tr>
      <w:tr w:rsidR="00A71F05" w14:paraId="0FBA3B16" w14:textId="77777777" w:rsidTr="00D7497D">
        <w:tc>
          <w:tcPr>
            <w:tcW w:w="3474" w:type="dxa"/>
            <w:gridSpan w:val="2"/>
          </w:tcPr>
          <w:p w14:paraId="3C7B7EEA" w14:textId="77777777" w:rsidR="00A71F05" w:rsidRPr="00CF184E" w:rsidRDefault="00A71F05" w:rsidP="00D4290D">
            <w:pPr>
              <w:pStyle w:val="Infotext"/>
              <w:rPr>
                <w:rFonts w:ascii="Arial Black" w:hAnsi="Arial Black" w:cs="Arial"/>
              </w:rPr>
            </w:pPr>
            <w:r w:rsidRPr="00CF184E">
              <w:rPr>
                <w:rFonts w:ascii="Arial Black" w:hAnsi="Arial Black" w:cs="Arial"/>
              </w:rPr>
              <w:t>Enclosures:</w:t>
            </w:r>
          </w:p>
          <w:p w14:paraId="68C0B20B" w14:textId="77777777" w:rsidR="00A71F05" w:rsidRPr="00CF184E" w:rsidRDefault="00A71F05" w:rsidP="00D4290D">
            <w:pPr>
              <w:pStyle w:val="Infotext"/>
              <w:rPr>
                <w:rFonts w:ascii="Arial Black" w:hAnsi="Arial Black" w:cs="Arial"/>
              </w:rPr>
            </w:pPr>
          </w:p>
        </w:tc>
        <w:tc>
          <w:tcPr>
            <w:tcW w:w="5610" w:type="dxa"/>
            <w:gridSpan w:val="2"/>
          </w:tcPr>
          <w:p w14:paraId="6AFD3A80" w14:textId="3676A736" w:rsidR="00A71F05" w:rsidRPr="00596DDC" w:rsidRDefault="003307A6" w:rsidP="00D4290D">
            <w:pPr>
              <w:rPr>
                <w:rFonts w:cs="Arial"/>
                <w:szCs w:val="24"/>
              </w:rPr>
            </w:pPr>
            <w:r>
              <w:rPr>
                <w:rFonts w:cs="Arial"/>
                <w:szCs w:val="24"/>
              </w:rPr>
              <w:t xml:space="preserve">Appendix: List of Council Applications &amp; Sites </w:t>
            </w:r>
            <w:r w:rsidR="0074446F">
              <w:rPr>
                <w:rFonts w:cs="Arial"/>
                <w:szCs w:val="24"/>
              </w:rPr>
              <w:t xml:space="preserve"> </w:t>
            </w:r>
          </w:p>
        </w:tc>
      </w:tr>
      <w:tr w:rsidR="00A71F05" w14:paraId="745DA00E" w14:textId="77777777" w:rsidTr="00D749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1"/>
          <w:wBefore w:w="7" w:type="dxa"/>
          <w:wAfter w:w="552" w:type="dxa"/>
        </w:trPr>
        <w:tc>
          <w:tcPr>
            <w:tcW w:w="8525" w:type="dxa"/>
            <w:gridSpan w:val="2"/>
            <w:tcBorders>
              <w:top w:val="nil"/>
              <w:left w:val="nil"/>
              <w:right w:val="nil"/>
            </w:tcBorders>
          </w:tcPr>
          <w:p w14:paraId="0596BE63" w14:textId="77777777" w:rsidR="003820B7" w:rsidRDefault="003820B7" w:rsidP="00A6606C">
            <w:pPr>
              <w:pStyle w:val="Heading2"/>
            </w:pPr>
          </w:p>
          <w:p w14:paraId="785B07A3" w14:textId="77777777" w:rsidR="003820B7" w:rsidRDefault="003820B7" w:rsidP="00A6606C">
            <w:pPr>
              <w:pStyle w:val="Heading2"/>
            </w:pPr>
          </w:p>
          <w:p w14:paraId="6FD52895" w14:textId="77777777" w:rsidR="003820B7" w:rsidRDefault="003820B7" w:rsidP="00A6606C">
            <w:pPr>
              <w:pStyle w:val="Heading2"/>
            </w:pPr>
          </w:p>
          <w:p w14:paraId="2C813867" w14:textId="5740E670" w:rsidR="00A71F05" w:rsidRDefault="00D7497D" w:rsidP="00A6606C">
            <w:pPr>
              <w:pStyle w:val="Heading2"/>
            </w:pPr>
            <w:r>
              <w:lastRenderedPageBreak/>
              <w:t>S</w:t>
            </w:r>
            <w:r w:rsidR="00A71F05">
              <w:t>ection 1 – Summary and Recommendations</w:t>
            </w:r>
          </w:p>
        </w:tc>
      </w:tr>
      <w:tr w:rsidR="00A71F05" w14:paraId="1B4A027A" w14:textId="77777777" w:rsidTr="00D749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1"/>
          <w:wBefore w:w="7" w:type="dxa"/>
          <w:wAfter w:w="552" w:type="dxa"/>
        </w:trPr>
        <w:tc>
          <w:tcPr>
            <w:tcW w:w="8525" w:type="dxa"/>
            <w:gridSpan w:val="2"/>
          </w:tcPr>
          <w:p w14:paraId="093D4599" w14:textId="33D66900" w:rsidR="00A71F05" w:rsidRPr="009F1ED7" w:rsidRDefault="00A71F05" w:rsidP="00A6606C">
            <w:pPr>
              <w:spacing w:after="240"/>
            </w:pPr>
            <w:r w:rsidRPr="009F1ED7">
              <w:lastRenderedPageBreak/>
              <w:t xml:space="preserve">This report </w:t>
            </w:r>
            <w:r w:rsidR="00A25D63" w:rsidRPr="009F1ED7">
              <w:t xml:space="preserve">requests </w:t>
            </w:r>
            <w:r w:rsidR="00F71291" w:rsidRPr="009F1ED7">
              <w:t xml:space="preserve">urgent </w:t>
            </w:r>
            <w:r w:rsidR="00A25D63" w:rsidRPr="009F1ED7">
              <w:t>authority to receive and utilise funding from the Public Sector Decarbonisation Scheme</w:t>
            </w:r>
            <w:r w:rsidR="002E4180" w:rsidRPr="009F1ED7">
              <w:t xml:space="preserve">, a </w:t>
            </w:r>
            <w:r w:rsidR="002A278D">
              <w:t xml:space="preserve">government </w:t>
            </w:r>
            <w:r w:rsidR="002E4180" w:rsidRPr="009F1ED7">
              <w:t xml:space="preserve">grant fund available for </w:t>
            </w:r>
            <w:r w:rsidR="002A278D">
              <w:t xml:space="preserve">the </w:t>
            </w:r>
            <w:r w:rsidR="00BE4E07" w:rsidRPr="009F1ED7">
              <w:t xml:space="preserve">carrying out energy works that support </w:t>
            </w:r>
            <w:r w:rsidR="002E4180" w:rsidRPr="009F1ED7">
              <w:t>the decarbonisation of public buildings</w:t>
            </w:r>
            <w:r w:rsidR="00BE4E07" w:rsidRPr="009F1ED7">
              <w:t xml:space="preserve">. </w:t>
            </w:r>
          </w:p>
          <w:p w14:paraId="400B6A01" w14:textId="77777777" w:rsidR="00864465" w:rsidRDefault="00A71F05" w:rsidP="00A6606C">
            <w:pPr>
              <w:rPr>
                <w:b/>
                <w:sz w:val="28"/>
                <w:szCs w:val="28"/>
              </w:rPr>
            </w:pPr>
            <w:r w:rsidRPr="00A6606C">
              <w:rPr>
                <w:b/>
                <w:sz w:val="28"/>
                <w:szCs w:val="28"/>
              </w:rPr>
              <w:t>Recommendations:</w:t>
            </w:r>
          </w:p>
          <w:p w14:paraId="0EA3AE64" w14:textId="1D5AD0DD" w:rsidR="00A71F05" w:rsidRPr="00A6606C" w:rsidRDefault="00A71F05" w:rsidP="00A6606C">
            <w:pPr>
              <w:rPr>
                <w:b/>
                <w:sz w:val="28"/>
                <w:szCs w:val="28"/>
              </w:rPr>
            </w:pPr>
            <w:r w:rsidRPr="00A6606C">
              <w:rPr>
                <w:b/>
                <w:sz w:val="28"/>
                <w:szCs w:val="28"/>
              </w:rPr>
              <w:t xml:space="preserve"> </w:t>
            </w:r>
          </w:p>
          <w:p w14:paraId="3865E175" w14:textId="2DE843A8" w:rsidR="00A71F05" w:rsidRDefault="0049672B" w:rsidP="00D4290D">
            <w:r>
              <w:t xml:space="preserve">The Leader of the Council is </w:t>
            </w:r>
            <w:r w:rsidR="00A71F05">
              <w:t>requested to:</w:t>
            </w:r>
          </w:p>
          <w:p w14:paraId="42784D16" w14:textId="1C3222A8" w:rsidR="00A53B54" w:rsidRDefault="00A53B54" w:rsidP="00D4290D"/>
          <w:p w14:paraId="4A683C74" w14:textId="2F14FF9A" w:rsidR="00A53B54" w:rsidRPr="00C75B39" w:rsidRDefault="00A53B54" w:rsidP="00D4290D">
            <w:r w:rsidRPr="00C75B39">
              <w:t xml:space="preserve">(1) Approve the principle </w:t>
            </w:r>
            <w:r w:rsidR="000E2589" w:rsidRPr="00C75B39">
              <w:t xml:space="preserve">of the Council accepting </w:t>
            </w:r>
            <w:r w:rsidR="00E3795D" w:rsidRPr="00C75B39">
              <w:t xml:space="preserve">any </w:t>
            </w:r>
            <w:r w:rsidR="000E2589" w:rsidRPr="00C75B39">
              <w:t>grant funding received from the Public Sector Decarbonisation Scheme under s31 of the Local Government Act 2003</w:t>
            </w:r>
            <w:r w:rsidR="002B0746" w:rsidRPr="00C75B39">
              <w:t>.</w:t>
            </w:r>
          </w:p>
          <w:p w14:paraId="36FF9DD1" w14:textId="07562FD3" w:rsidR="00F71291" w:rsidRPr="00C75B39" w:rsidRDefault="00F71291" w:rsidP="00D4290D"/>
          <w:p w14:paraId="0A3B18C6" w14:textId="56FEF425" w:rsidR="00A1541D" w:rsidRPr="00C75B39" w:rsidRDefault="003F5A62" w:rsidP="00D4290D">
            <w:r w:rsidRPr="00C75B39">
              <w:t>(</w:t>
            </w:r>
            <w:r w:rsidR="00E3795D" w:rsidRPr="00C75B39">
              <w:t>2</w:t>
            </w:r>
            <w:r w:rsidRPr="00C75B39">
              <w:t xml:space="preserve">) </w:t>
            </w:r>
            <w:r w:rsidR="00601BFE" w:rsidRPr="00C75B39">
              <w:t xml:space="preserve">Delegate authority to the Corporate Director - Community to </w:t>
            </w:r>
            <w:proofErr w:type="gramStart"/>
            <w:r w:rsidR="00A1541D" w:rsidRPr="00C75B39">
              <w:t>enter into</w:t>
            </w:r>
            <w:proofErr w:type="gramEnd"/>
            <w:r w:rsidR="00A1541D" w:rsidRPr="00C75B39">
              <w:t xml:space="preserve"> documentation and take all other necessary action</w:t>
            </w:r>
            <w:r w:rsidR="00C75B39">
              <w:t>s</w:t>
            </w:r>
            <w:r w:rsidR="00A1541D" w:rsidRPr="00C75B39">
              <w:t xml:space="preserve"> to:</w:t>
            </w:r>
          </w:p>
          <w:p w14:paraId="5459E6B8" w14:textId="77777777" w:rsidR="00A1541D" w:rsidRPr="00C75B39" w:rsidRDefault="00A1541D" w:rsidP="00D4290D"/>
          <w:p w14:paraId="3043F216" w14:textId="2910B0F9" w:rsidR="00A1541D" w:rsidRPr="00C75B39" w:rsidRDefault="00A1541D" w:rsidP="003820B7">
            <w:pPr>
              <w:ind w:left="720"/>
            </w:pPr>
            <w:r w:rsidRPr="00C75B39">
              <w:t xml:space="preserve">(a) </w:t>
            </w:r>
            <w:r w:rsidR="006E66C0" w:rsidRPr="00C75B39">
              <w:t xml:space="preserve">formally </w:t>
            </w:r>
            <w:r w:rsidR="00601BFE" w:rsidRPr="00C75B39">
              <w:t xml:space="preserve">accept </w:t>
            </w:r>
            <w:r w:rsidR="00966806" w:rsidRPr="00C75B39">
              <w:t xml:space="preserve">specific </w:t>
            </w:r>
            <w:r w:rsidR="00601BFE" w:rsidRPr="00C75B39">
              <w:t>award</w:t>
            </w:r>
            <w:r w:rsidR="00966806" w:rsidRPr="00C75B39">
              <w:t>s</w:t>
            </w:r>
            <w:r w:rsidR="00601BFE" w:rsidRPr="00C75B39">
              <w:t xml:space="preserve"> of funding from </w:t>
            </w:r>
            <w:r w:rsidR="002A7D48" w:rsidRPr="00C75B39">
              <w:t>t</w:t>
            </w:r>
            <w:r w:rsidR="00601BFE" w:rsidRPr="00C75B39">
              <w:t xml:space="preserve">he Public </w:t>
            </w:r>
            <w:r w:rsidR="002A7D48" w:rsidRPr="00C75B39">
              <w:t xml:space="preserve">Sector </w:t>
            </w:r>
            <w:r w:rsidR="00601BFE" w:rsidRPr="00C75B39">
              <w:t>Decarbonisation Schem</w:t>
            </w:r>
            <w:r w:rsidRPr="00C75B39">
              <w:t>e; and</w:t>
            </w:r>
          </w:p>
          <w:p w14:paraId="10755D6A" w14:textId="112D3B98" w:rsidR="00F71291" w:rsidRPr="00C75B39" w:rsidRDefault="00A1541D" w:rsidP="003820B7">
            <w:pPr>
              <w:ind w:left="720"/>
            </w:pPr>
            <w:r w:rsidRPr="00C75B39">
              <w:t xml:space="preserve">(b) </w:t>
            </w:r>
            <w:r w:rsidR="00803D16" w:rsidRPr="00C75B39">
              <w:t xml:space="preserve">procure and deliver </w:t>
            </w:r>
            <w:r w:rsidR="00601BFE" w:rsidRPr="00C75B39">
              <w:t xml:space="preserve">the </w:t>
            </w:r>
            <w:r w:rsidR="00C75B39">
              <w:t xml:space="preserve">implementation of </w:t>
            </w:r>
            <w:r w:rsidR="00601BFE" w:rsidRPr="00C75B39">
              <w:t>works</w:t>
            </w:r>
            <w:r w:rsidRPr="00C75B39">
              <w:t xml:space="preserve"> for which funding has been received</w:t>
            </w:r>
            <w:r w:rsidR="00601BFE" w:rsidRPr="00C75B39">
              <w:t>.</w:t>
            </w:r>
          </w:p>
          <w:p w14:paraId="53F26353" w14:textId="14D947E3" w:rsidR="003F5A62" w:rsidRPr="00C75B39" w:rsidRDefault="003F5A62" w:rsidP="00D4290D"/>
          <w:p w14:paraId="6EA7960B" w14:textId="0F53FEE7" w:rsidR="003F5A62" w:rsidRPr="00C75B39" w:rsidRDefault="003F5A62" w:rsidP="00D4290D">
            <w:r w:rsidRPr="00C75B39">
              <w:t>(</w:t>
            </w:r>
            <w:r w:rsidR="00E3795D" w:rsidRPr="00C75B39">
              <w:t>3</w:t>
            </w:r>
            <w:r w:rsidRPr="00C75B39">
              <w:t xml:space="preserve">) </w:t>
            </w:r>
            <w:r w:rsidR="00184E97" w:rsidRPr="00C75B39">
              <w:t>Delegate authority to the Director of Finance to amend the capital programme to include any capital grant funding awarded to the Council under the terms of the Public Sector Decarbonisation Scheme</w:t>
            </w:r>
            <w:r w:rsidR="000B44FE" w:rsidRPr="00C75B39">
              <w:t xml:space="preserve">, subject to the </w:t>
            </w:r>
            <w:r w:rsidR="006E66C0" w:rsidRPr="00C75B39">
              <w:t>c</w:t>
            </w:r>
            <w:r w:rsidR="000B44FE" w:rsidRPr="00C75B39">
              <w:t>apital project meeting the requirements of Financial Regulation B48.</w:t>
            </w:r>
          </w:p>
          <w:p w14:paraId="39C386CD" w14:textId="6C7B9F41" w:rsidR="00F71291" w:rsidRPr="00C75B39" w:rsidRDefault="00F71291" w:rsidP="00D4290D"/>
          <w:p w14:paraId="5D9976EC" w14:textId="60E8ACCC" w:rsidR="00C54800" w:rsidRDefault="007019ED" w:rsidP="00D4290D">
            <w:r w:rsidRPr="00C75B39">
              <w:t xml:space="preserve">(4) Note that the outcome of the Council’s </w:t>
            </w:r>
            <w:r w:rsidR="00CF2C8C" w:rsidRPr="00C75B39">
              <w:t>funding applications will be reported to a future meeting of Cabinet.</w:t>
            </w:r>
            <w:r w:rsidR="00CF2C8C">
              <w:t xml:space="preserve"> </w:t>
            </w:r>
          </w:p>
          <w:p w14:paraId="5D337CDD" w14:textId="12CC9B3C" w:rsidR="00A71F05" w:rsidRDefault="00A71F05" w:rsidP="00F71291">
            <w:pPr>
              <w:spacing w:before="240"/>
              <w:rPr>
                <w:rFonts w:cs="Arial"/>
              </w:rPr>
            </w:pPr>
            <w:r w:rsidRPr="00A6606C">
              <w:rPr>
                <w:b/>
                <w:sz w:val="28"/>
              </w:rPr>
              <w:t>Reason</w:t>
            </w:r>
            <w:r w:rsidR="003820B7">
              <w:rPr>
                <w:b/>
                <w:sz w:val="28"/>
              </w:rPr>
              <w:t>s (for the recommendations)</w:t>
            </w:r>
            <w:r w:rsidRPr="00A6606C">
              <w:rPr>
                <w:b/>
                <w:sz w:val="28"/>
              </w:rPr>
              <w:t>:</w:t>
            </w:r>
            <w:r>
              <w:t xml:space="preserve">  </w:t>
            </w:r>
            <w:r w:rsidR="00F71291">
              <w:t xml:space="preserve">To enable the Council to receive </w:t>
            </w:r>
            <w:r w:rsidR="00C83AE5">
              <w:t xml:space="preserve">and use </w:t>
            </w:r>
            <w:r w:rsidR="009D105A">
              <w:t xml:space="preserve">external </w:t>
            </w:r>
            <w:r w:rsidR="00F71291">
              <w:t xml:space="preserve">funding for </w:t>
            </w:r>
            <w:r w:rsidR="00803D16">
              <w:t xml:space="preserve">the delivery of </w:t>
            </w:r>
            <w:r w:rsidR="00F71291">
              <w:t xml:space="preserve">energy works that </w:t>
            </w:r>
            <w:r w:rsidR="00803D16">
              <w:t xml:space="preserve">will </w:t>
            </w:r>
            <w:r w:rsidR="00F71291">
              <w:t>support decarbonisation of its built estate</w:t>
            </w:r>
            <w:r w:rsidR="00CE296E">
              <w:t xml:space="preserve">, thereby taking action to address the climate emergency. </w:t>
            </w:r>
          </w:p>
        </w:tc>
      </w:tr>
    </w:tbl>
    <w:p w14:paraId="014DD425" w14:textId="77777777" w:rsidR="00A71F05" w:rsidRDefault="00A71F05" w:rsidP="00A71F05">
      <w:pPr>
        <w:pStyle w:val="Heading1"/>
        <w:jc w:val="center"/>
        <w:rPr>
          <w:color w:val="0000FF"/>
          <w:sz w:val="28"/>
        </w:rPr>
        <w:sectPr w:rsidR="00A71F05" w:rsidSect="00777CC5">
          <w:footerReference w:type="default" r:id="rId11"/>
          <w:footerReference w:type="first" r:id="rId12"/>
          <w:type w:val="continuous"/>
          <w:pgSz w:w="11909" w:h="16834" w:code="9"/>
          <w:pgMar w:top="864" w:right="1800" w:bottom="1440" w:left="1800" w:header="1008" w:footer="432" w:gutter="0"/>
          <w:cols w:space="720"/>
          <w:titlePg/>
          <w:docGrid w:linePitch="360"/>
        </w:sectPr>
      </w:pPr>
    </w:p>
    <w:p w14:paraId="21D05068" w14:textId="77777777" w:rsidR="00A71F05" w:rsidRDefault="00A71F05" w:rsidP="00A6606C">
      <w:pPr>
        <w:pStyle w:val="Heading2"/>
      </w:pPr>
      <w:r>
        <w:t>Section 2 – Report</w:t>
      </w:r>
    </w:p>
    <w:p w14:paraId="3298C2E0" w14:textId="20291B11" w:rsidR="00A71F05" w:rsidRDefault="0087019C" w:rsidP="00192F10">
      <w:pPr>
        <w:pStyle w:val="Heading3"/>
      </w:pPr>
      <w:r>
        <w:t xml:space="preserve">1. </w:t>
      </w:r>
      <w:r>
        <w:tab/>
      </w:r>
      <w:r w:rsidR="00A71F05" w:rsidRPr="00A6606C">
        <w:t>Introduct</w:t>
      </w:r>
      <w:r w:rsidR="00B068CF">
        <w:t>ion &amp; Background</w:t>
      </w:r>
    </w:p>
    <w:p w14:paraId="2D750FCF" w14:textId="73EEFE2A" w:rsidR="00237DF8" w:rsidRPr="00237DF8" w:rsidRDefault="00237DF8" w:rsidP="00237DF8">
      <w:pPr>
        <w:rPr>
          <w:u w:val="single"/>
        </w:rPr>
      </w:pPr>
      <w:r w:rsidRPr="00237DF8">
        <w:rPr>
          <w:u w:val="single"/>
        </w:rPr>
        <w:t xml:space="preserve">Harrow’s Climate Emergency </w:t>
      </w:r>
    </w:p>
    <w:p w14:paraId="32998B18" w14:textId="77777777" w:rsidR="00237DF8" w:rsidRPr="00237DF8" w:rsidRDefault="00237DF8" w:rsidP="00237DF8"/>
    <w:p w14:paraId="15D5C978" w14:textId="5C021C77" w:rsidR="00900EA5" w:rsidRDefault="00D204F3" w:rsidP="00D204F3">
      <w:pPr>
        <w:pStyle w:val="ListParagraph"/>
        <w:numPr>
          <w:ilvl w:val="1"/>
          <w:numId w:val="34"/>
        </w:numPr>
      </w:pPr>
      <w:r>
        <w:t>Harrow Council declared a Climate Emergency in 2019, which included a resolution to aim to work towards achieving a carbon neutral position by 2030. In March 2020 Cabinet adopted a</w:t>
      </w:r>
      <w:r w:rsidR="002E600A">
        <w:t xml:space="preserve">n interim </w:t>
      </w:r>
      <w:r>
        <w:t>strategy that set out initial actions to begin to address emissions arising both from its own operational activity and across the borough more widely.</w:t>
      </w:r>
    </w:p>
    <w:p w14:paraId="5032D5BC" w14:textId="09DA46AB" w:rsidR="00D204F3" w:rsidRDefault="00D204F3" w:rsidP="00900EA5">
      <w:pPr>
        <w:pStyle w:val="ListParagraph"/>
      </w:pPr>
      <w:r>
        <w:t xml:space="preserve"> </w:t>
      </w:r>
    </w:p>
    <w:p w14:paraId="493E70E0" w14:textId="7DDED388" w:rsidR="00D204F3" w:rsidRDefault="00D204F3" w:rsidP="00D204F3">
      <w:pPr>
        <w:pStyle w:val="ListParagraph"/>
        <w:numPr>
          <w:ilvl w:val="1"/>
          <w:numId w:val="34"/>
        </w:numPr>
      </w:pPr>
      <w:r>
        <w:lastRenderedPageBreak/>
        <w:t xml:space="preserve">The first theme of the </w:t>
      </w:r>
      <w:r w:rsidR="002E600A">
        <w:t xml:space="preserve">interim </w:t>
      </w:r>
      <w:r>
        <w:t xml:space="preserve">strategy approved by Cabinet is ‘Clean Energy used Efficiently’. This </w:t>
      </w:r>
      <w:r w:rsidR="00900EA5">
        <w:t xml:space="preserve">includes </w:t>
      </w:r>
      <w:r w:rsidR="00864465">
        <w:t xml:space="preserve">the following </w:t>
      </w:r>
      <w:r w:rsidR="00B26B1B">
        <w:t xml:space="preserve">overarching objectives: </w:t>
      </w:r>
    </w:p>
    <w:p w14:paraId="7D75C2B2" w14:textId="77777777" w:rsidR="0088546F" w:rsidRDefault="0088546F" w:rsidP="0088546F"/>
    <w:p w14:paraId="3083435D" w14:textId="429C059C" w:rsidR="00216CD5" w:rsidRDefault="00D204F3" w:rsidP="0088546F">
      <w:pPr>
        <w:pStyle w:val="ListParagraph"/>
        <w:numPr>
          <w:ilvl w:val="0"/>
          <w:numId w:val="41"/>
        </w:numPr>
      </w:pPr>
      <w:r>
        <w:t>To transition to 100% renewable and low carbon energy solutions</w:t>
      </w:r>
    </w:p>
    <w:p w14:paraId="586E7AE8" w14:textId="77777777" w:rsidR="002700B4" w:rsidRDefault="002700B4" w:rsidP="002700B4">
      <w:pPr>
        <w:pStyle w:val="ListParagraph"/>
        <w:ind w:left="405"/>
      </w:pPr>
    </w:p>
    <w:p w14:paraId="0BD72425" w14:textId="5A28525A" w:rsidR="00D204F3" w:rsidRDefault="002700B4" w:rsidP="0088546F">
      <w:pPr>
        <w:pStyle w:val="ListParagraph"/>
        <w:numPr>
          <w:ilvl w:val="0"/>
          <w:numId w:val="41"/>
        </w:numPr>
      </w:pPr>
      <w:r>
        <w:t xml:space="preserve">To </w:t>
      </w:r>
      <w:r w:rsidR="00D204F3">
        <w:t>maximise energy efficiency and conservation measures across our buildings</w:t>
      </w:r>
    </w:p>
    <w:p w14:paraId="6078D880" w14:textId="77777777" w:rsidR="00B26B1B" w:rsidRDefault="00B26B1B" w:rsidP="00B26B1B"/>
    <w:p w14:paraId="670FD5A7" w14:textId="0970E15B" w:rsidR="0088546F" w:rsidRDefault="00237DF8" w:rsidP="00237DF8">
      <w:pPr>
        <w:pStyle w:val="ListParagraph"/>
        <w:numPr>
          <w:ilvl w:val="1"/>
          <w:numId w:val="43"/>
        </w:numPr>
      </w:pPr>
      <w:r>
        <w:t xml:space="preserve">     </w:t>
      </w:r>
      <w:r w:rsidR="00D204F3">
        <w:t xml:space="preserve">Energy related emissions connected with our built estate are by far the </w:t>
      </w:r>
    </w:p>
    <w:p w14:paraId="377348EC" w14:textId="56109B41" w:rsidR="00ED34B7" w:rsidRDefault="00D204F3" w:rsidP="00ED34B7">
      <w:pPr>
        <w:ind w:left="720"/>
      </w:pPr>
      <w:r>
        <w:t xml:space="preserve">largest single component of </w:t>
      </w:r>
      <w:r w:rsidR="007E36DD">
        <w:t xml:space="preserve">the Council’s </w:t>
      </w:r>
      <w:r>
        <w:t>direct</w:t>
      </w:r>
      <w:r w:rsidR="007E36DD">
        <w:t>ly incurred</w:t>
      </w:r>
      <w:r>
        <w:t xml:space="preserve"> </w:t>
      </w:r>
      <w:r w:rsidR="00B068CF">
        <w:t xml:space="preserve">greenhouse gas </w:t>
      </w:r>
      <w:r>
        <w:t xml:space="preserve">emissions, comprising over 90% of our combined Scope 1 (direct </w:t>
      </w:r>
      <w:r w:rsidR="007E36DD">
        <w:t xml:space="preserve">transport and heating </w:t>
      </w:r>
      <w:r>
        <w:t>emissions) and Scope 2 (electricity</w:t>
      </w:r>
      <w:r w:rsidR="00ED34B7">
        <w:t xml:space="preserve"> usage</w:t>
      </w:r>
      <w:r>
        <w:t>) emissions.</w:t>
      </w:r>
      <w:r w:rsidR="00E137F6">
        <w:t xml:space="preserve"> </w:t>
      </w:r>
      <w:r w:rsidR="00B775A2">
        <w:t>Taking a</w:t>
      </w:r>
      <w:r w:rsidR="00E137F6">
        <w:t xml:space="preserve">ction to </w:t>
      </w:r>
      <w:r w:rsidR="00B775A2">
        <w:t xml:space="preserve">improve </w:t>
      </w:r>
      <w:r w:rsidR="00E137F6">
        <w:t xml:space="preserve">the energy efficiency of our buildings is therefore </w:t>
      </w:r>
      <w:r w:rsidR="00221FAA">
        <w:t xml:space="preserve">crucial in order to significantly </w:t>
      </w:r>
      <w:r w:rsidR="008A233C">
        <w:t xml:space="preserve">reduce our corporate carbon footprint. </w:t>
      </w:r>
    </w:p>
    <w:p w14:paraId="007AA303" w14:textId="3F8EBF24" w:rsidR="008A233C" w:rsidRDefault="008A233C" w:rsidP="008A233C"/>
    <w:p w14:paraId="62479BEC" w14:textId="36CC1BDF" w:rsidR="008A233C" w:rsidRPr="008A233C" w:rsidRDefault="008A233C" w:rsidP="008A233C">
      <w:pPr>
        <w:rPr>
          <w:u w:val="single"/>
        </w:rPr>
      </w:pPr>
      <w:r w:rsidRPr="008A233C">
        <w:rPr>
          <w:u w:val="single"/>
        </w:rPr>
        <w:t>The Public Sector Decarbonisation Scheme</w:t>
      </w:r>
    </w:p>
    <w:p w14:paraId="128BDAB4" w14:textId="77777777" w:rsidR="00E13AE1" w:rsidRDefault="00E13AE1" w:rsidP="00ED34B7">
      <w:pPr>
        <w:ind w:left="720"/>
      </w:pPr>
    </w:p>
    <w:p w14:paraId="49322EDC" w14:textId="320D77F4" w:rsidR="000631C9" w:rsidRDefault="00CB2644" w:rsidP="00AA0DED">
      <w:pPr>
        <w:ind w:left="720" w:hanging="720"/>
      </w:pPr>
      <w:r>
        <w:t xml:space="preserve">1.4 </w:t>
      </w:r>
      <w:r>
        <w:tab/>
      </w:r>
      <w:r w:rsidR="00B01E73">
        <w:t xml:space="preserve">Recognising the importance of </w:t>
      </w:r>
      <w:r w:rsidR="003C5B5A">
        <w:t>decarbonisation</w:t>
      </w:r>
      <w:r w:rsidR="00B01E73">
        <w:t xml:space="preserve"> </w:t>
      </w:r>
      <w:r w:rsidR="003C5B5A">
        <w:t xml:space="preserve">the </w:t>
      </w:r>
      <w:r w:rsidR="00B01E73">
        <w:t>public</w:t>
      </w:r>
      <w:r w:rsidR="003C5B5A">
        <w:t xml:space="preserve"> estate, in the autumn of 20</w:t>
      </w:r>
      <w:r w:rsidR="00771963">
        <w:t>20</w:t>
      </w:r>
      <w:r w:rsidR="003C5B5A">
        <w:t xml:space="preserve"> the government </w:t>
      </w:r>
      <w:r>
        <w:t xml:space="preserve">announced </w:t>
      </w:r>
      <w:r w:rsidR="00453461">
        <w:t>a new grant fund of £1 billion, known as the Public Sector Decarbonisation Scheme (</w:t>
      </w:r>
      <w:r w:rsidR="00453461" w:rsidRPr="00CB2644">
        <w:rPr>
          <w:b/>
          <w:bCs/>
        </w:rPr>
        <w:t>PSDS</w:t>
      </w:r>
      <w:r w:rsidR="00453461">
        <w:t>)</w:t>
      </w:r>
      <w:r w:rsidR="00D03A64">
        <w:t xml:space="preserve"> </w:t>
      </w:r>
      <w:r w:rsidR="001017CD">
        <w:t xml:space="preserve">and </w:t>
      </w:r>
      <w:r w:rsidR="00D03A64" w:rsidRPr="009743C4">
        <w:rPr>
          <w:color w:val="000000" w:themeColor="text1"/>
        </w:rPr>
        <w:t>administered by its agent</w:t>
      </w:r>
      <w:r w:rsidR="00301D74" w:rsidRPr="009743C4">
        <w:rPr>
          <w:color w:val="000000" w:themeColor="text1"/>
        </w:rPr>
        <w:t>,</w:t>
      </w:r>
      <w:r w:rsidR="00D03A64" w:rsidRPr="009743C4">
        <w:rPr>
          <w:color w:val="000000" w:themeColor="text1"/>
        </w:rPr>
        <w:t xml:space="preserve"> Salix Finance. </w:t>
      </w:r>
      <w:r w:rsidR="009743C4" w:rsidRPr="009743C4">
        <w:rPr>
          <w:color w:val="000000" w:themeColor="text1"/>
        </w:rPr>
        <w:t xml:space="preserve">The PSDS aims to reduce carbon emission associated with public (non-residential) buildings, with a focus on decarbonising the heat supply by utilising alternative technologies (for example heat pumps) to replace gas and other fossil fuels as a source of heating fuel. </w:t>
      </w:r>
      <w:r w:rsidR="00AA0DED" w:rsidRPr="009743C4">
        <w:rPr>
          <w:color w:val="000000" w:themeColor="text1"/>
        </w:rPr>
        <w:t>P</w:t>
      </w:r>
      <w:r w:rsidR="008B44E1" w:rsidRPr="009743C4">
        <w:rPr>
          <w:color w:val="000000" w:themeColor="text1"/>
        </w:rPr>
        <w:t xml:space="preserve">ublic </w:t>
      </w:r>
      <w:r w:rsidR="008B44E1">
        <w:t xml:space="preserve">bodies (including local authorities) </w:t>
      </w:r>
      <w:r w:rsidR="00AA0DED">
        <w:t xml:space="preserve">were invited </w:t>
      </w:r>
      <w:r w:rsidR="008B44E1">
        <w:t xml:space="preserve">to propose </w:t>
      </w:r>
      <w:r w:rsidR="007D4F05">
        <w:t>projects for funding</w:t>
      </w:r>
      <w:r w:rsidR="008B44E1">
        <w:t xml:space="preserve">. </w:t>
      </w:r>
      <w:r w:rsidR="003C5B5A">
        <w:t xml:space="preserve"> </w:t>
      </w:r>
    </w:p>
    <w:p w14:paraId="3F6163F2" w14:textId="510FAE8B" w:rsidR="000631C9" w:rsidRDefault="000631C9" w:rsidP="000631C9"/>
    <w:p w14:paraId="141D7361" w14:textId="01F7D281" w:rsidR="00856154" w:rsidRDefault="000631C9" w:rsidP="00203A44">
      <w:pPr>
        <w:ind w:left="720" w:hanging="720"/>
      </w:pPr>
      <w:r>
        <w:t xml:space="preserve">1.5 </w:t>
      </w:r>
      <w:r w:rsidR="00203A44">
        <w:tab/>
      </w:r>
      <w:r w:rsidR="0037578A" w:rsidRPr="0037578A">
        <w:t xml:space="preserve">In January 2021 the Council submitted a range of funding bids to the </w:t>
      </w:r>
      <w:r w:rsidR="002E0757">
        <w:t xml:space="preserve">PSDS. </w:t>
      </w:r>
      <w:r w:rsidR="0037578A" w:rsidRPr="0037578A">
        <w:t>The Council’s applications, which covered 1</w:t>
      </w:r>
      <w:r w:rsidR="008B27B2">
        <w:t>1</w:t>
      </w:r>
      <w:r w:rsidR="0037578A" w:rsidRPr="0037578A">
        <w:t xml:space="preserve"> </w:t>
      </w:r>
      <w:r w:rsidR="009C0C1E">
        <w:t xml:space="preserve">maintained </w:t>
      </w:r>
      <w:r w:rsidR="0037578A" w:rsidRPr="0037578A">
        <w:t xml:space="preserve">school and corporate sites, </w:t>
      </w:r>
      <w:r w:rsidR="00145AA2">
        <w:t xml:space="preserve">prioritised according to the age and condition of existing energy infrastructure, </w:t>
      </w:r>
      <w:r w:rsidR="0037578A" w:rsidRPr="0037578A">
        <w:t xml:space="preserve">totalled </w:t>
      </w:r>
      <w:r w:rsidR="006D27FE">
        <w:t xml:space="preserve">c </w:t>
      </w:r>
      <w:r w:rsidR="0037578A" w:rsidRPr="0037578A">
        <w:t xml:space="preserve">£3.8 million. </w:t>
      </w:r>
      <w:r w:rsidR="00A770A2">
        <w:t xml:space="preserve">The </w:t>
      </w:r>
      <w:r w:rsidR="00A80697">
        <w:t>application</w:t>
      </w:r>
      <w:r w:rsidR="003518D5">
        <w:t xml:space="preserve">s and </w:t>
      </w:r>
      <w:r w:rsidR="0089514C">
        <w:t xml:space="preserve">the </w:t>
      </w:r>
      <w:r w:rsidR="003518D5">
        <w:t xml:space="preserve">proposed works and </w:t>
      </w:r>
      <w:r w:rsidR="003307A6">
        <w:t>sites are listed in the Appendix</w:t>
      </w:r>
      <w:r w:rsidR="00065C33">
        <w:t xml:space="preserve"> to this report</w:t>
      </w:r>
      <w:r w:rsidR="003307A6">
        <w:t xml:space="preserve">. </w:t>
      </w:r>
      <w:r w:rsidR="0037578A" w:rsidRPr="0037578A">
        <w:t>The</w:t>
      </w:r>
      <w:r w:rsidR="00F7348B">
        <w:t xml:space="preserve"> projects</w:t>
      </w:r>
      <w:r w:rsidR="0037578A" w:rsidRPr="0037578A">
        <w:t xml:space="preserve"> include a range of proposed energy interventions including insulation works, installation of building management control systems and the replacement of gas boilers with heat pump technology. </w:t>
      </w:r>
      <w:r w:rsidR="00EC16C2">
        <w:t xml:space="preserve">Under the terms of the PSDS works are </w:t>
      </w:r>
      <w:r w:rsidR="005127DB">
        <w:t xml:space="preserve">required to </w:t>
      </w:r>
      <w:r w:rsidR="00196F77">
        <w:t xml:space="preserve">be carried out prior to </w:t>
      </w:r>
      <w:r w:rsidR="005127DB">
        <w:t>30</w:t>
      </w:r>
      <w:r w:rsidR="005127DB" w:rsidRPr="005127DB">
        <w:rPr>
          <w:vertAlign w:val="superscript"/>
        </w:rPr>
        <w:t>th</w:t>
      </w:r>
      <w:r w:rsidR="005127DB">
        <w:t xml:space="preserve"> September 2021.</w:t>
      </w:r>
    </w:p>
    <w:p w14:paraId="591D258F" w14:textId="77777777" w:rsidR="00856154" w:rsidRDefault="00856154" w:rsidP="00203A44">
      <w:pPr>
        <w:ind w:left="720" w:hanging="720"/>
      </w:pPr>
    </w:p>
    <w:p w14:paraId="5221B36E" w14:textId="7E7A0191" w:rsidR="00115DB5" w:rsidRDefault="00856154" w:rsidP="00203A44">
      <w:pPr>
        <w:ind w:left="720" w:hanging="720"/>
      </w:pPr>
      <w:proofErr w:type="gramStart"/>
      <w:r>
        <w:t xml:space="preserve">1.6  </w:t>
      </w:r>
      <w:r>
        <w:tab/>
      </w:r>
      <w:proofErr w:type="gramEnd"/>
      <w:r w:rsidR="00045999">
        <w:t>In February 2021</w:t>
      </w:r>
      <w:r>
        <w:t xml:space="preserve"> Salix announced that t</w:t>
      </w:r>
      <w:r w:rsidR="0037578A" w:rsidRPr="0037578A">
        <w:t xml:space="preserve">he Fund, much of which </w:t>
      </w:r>
      <w:r w:rsidR="00045999">
        <w:t xml:space="preserve">has been </w:t>
      </w:r>
      <w:r w:rsidR="0037578A" w:rsidRPr="0037578A">
        <w:t>allocated by the Treasury for 20/21 delivery</w:t>
      </w:r>
      <w:r>
        <w:t xml:space="preserve"> (</w:t>
      </w:r>
      <w:r w:rsidR="0037578A" w:rsidRPr="0037578A">
        <w:t xml:space="preserve"> but which allowed 21/22 delivery applications</w:t>
      </w:r>
      <w:r>
        <w:t>)</w:t>
      </w:r>
      <w:r w:rsidR="0037578A" w:rsidRPr="0037578A">
        <w:t xml:space="preserve"> has been significantly oversubscribed with a total value of applications in excess of £2.3 billion. However, due to the complexity and lead in times for delivery of the required energy works </w:t>
      </w:r>
      <w:r>
        <w:t xml:space="preserve">it is understood that </w:t>
      </w:r>
      <w:r w:rsidR="00963718">
        <w:t xml:space="preserve">the works </w:t>
      </w:r>
      <w:r w:rsidR="0089514C">
        <w:t xml:space="preserve">comprised </w:t>
      </w:r>
      <w:r w:rsidR="00963718">
        <w:t xml:space="preserve">in </w:t>
      </w:r>
      <w:r w:rsidR="0037578A" w:rsidRPr="0037578A">
        <w:t>many applica</w:t>
      </w:r>
      <w:r>
        <w:t xml:space="preserve">tions, </w:t>
      </w:r>
      <w:r w:rsidR="0037578A" w:rsidRPr="0037578A">
        <w:t xml:space="preserve">including </w:t>
      </w:r>
      <w:r w:rsidR="00C75B39">
        <w:t xml:space="preserve">in most of </w:t>
      </w:r>
      <w:r w:rsidR="0037578A" w:rsidRPr="0037578A">
        <w:t>Harrow Council’s applications, are unable to be delivered by public authorities by 31</w:t>
      </w:r>
      <w:r w:rsidR="00115DB5" w:rsidRPr="00115DB5">
        <w:rPr>
          <w:vertAlign w:val="superscript"/>
        </w:rPr>
        <w:t>st</w:t>
      </w:r>
      <w:r w:rsidR="00115DB5">
        <w:t xml:space="preserve"> </w:t>
      </w:r>
      <w:r w:rsidR="0037578A" w:rsidRPr="0037578A">
        <w:t>March 2021.</w:t>
      </w:r>
    </w:p>
    <w:p w14:paraId="3DFEE8C0" w14:textId="77777777" w:rsidR="00115DB5" w:rsidRDefault="00115DB5" w:rsidP="00203A44">
      <w:pPr>
        <w:ind w:left="720" w:hanging="720"/>
      </w:pPr>
    </w:p>
    <w:p w14:paraId="02EAFE27" w14:textId="0FE482B1" w:rsidR="00217A19" w:rsidRDefault="00115DB5" w:rsidP="00203A44">
      <w:pPr>
        <w:ind w:left="720" w:hanging="720"/>
      </w:pPr>
      <w:r>
        <w:t>1.7</w:t>
      </w:r>
      <w:r>
        <w:tab/>
      </w:r>
      <w:r w:rsidR="0037578A" w:rsidRPr="0037578A">
        <w:t xml:space="preserve">As a solution </w:t>
      </w:r>
      <w:r w:rsidR="00045999">
        <w:t xml:space="preserve">to meet the Treasury’s requirement to distribute funding in </w:t>
      </w:r>
      <w:r w:rsidR="0026601B">
        <w:t xml:space="preserve">the </w:t>
      </w:r>
      <w:r w:rsidR="00045999">
        <w:t xml:space="preserve">2020/21 </w:t>
      </w:r>
      <w:r w:rsidR="0026601B">
        <w:t xml:space="preserve">financial year </w:t>
      </w:r>
      <w:r w:rsidR="00AD2AF3">
        <w:t>Salix have recently proposed a</w:t>
      </w:r>
      <w:r w:rsidR="0072548C">
        <w:t xml:space="preserve">n urgent </w:t>
      </w:r>
      <w:r w:rsidR="00AD2AF3">
        <w:lastRenderedPageBreak/>
        <w:t xml:space="preserve">change in </w:t>
      </w:r>
      <w:r w:rsidR="00E57A93">
        <w:t xml:space="preserve">their national </w:t>
      </w:r>
      <w:r w:rsidR="00AD2AF3">
        <w:t>delivery strategy</w:t>
      </w:r>
      <w:r w:rsidR="00EF3A1A">
        <w:t>. The</w:t>
      </w:r>
      <w:r w:rsidR="00D05149">
        <w:t xml:space="preserve"> </w:t>
      </w:r>
      <w:r w:rsidR="0037578A" w:rsidRPr="0037578A">
        <w:t>propos</w:t>
      </w:r>
      <w:r w:rsidR="00D05149">
        <w:t>al is</w:t>
      </w:r>
      <w:r w:rsidR="00EF3A1A">
        <w:t xml:space="preserve"> that the government </w:t>
      </w:r>
      <w:r w:rsidR="00AD2AF3">
        <w:t>utilise</w:t>
      </w:r>
      <w:r w:rsidR="00EF3A1A">
        <w:t>s</w:t>
      </w:r>
      <w:r w:rsidR="00AD2AF3">
        <w:t xml:space="preserve"> </w:t>
      </w:r>
      <w:r w:rsidR="0037578A" w:rsidRPr="0037578A">
        <w:t xml:space="preserve">section 31 of the Local Government Act 2003 to pay local authorities funding in advance in </w:t>
      </w:r>
      <w:r w:rsidR="00AD2AF3">
        <w:t xml:space="preserve">the financial year </w:t>
      </w:r>
      <w:r w:rsidR="0037578A" w:rsidRPr="0037578A">
        <w:t>20/21</w:t>
      </w:r>
      <w:r w:rsidR="00D05149">
        <w:t>,</w:t>
      </w:r>
      <w:r w:rsidR="0037578A" w:rsidRPr="0037578A">
        <w:t xml:space="preserve"> for delivery </w:t>
      </w:r>
      <w:r w:rsidR="00D05149">
        <w:t xml:space="preserve">of works </w:t>
      </w:r>
      <w:r w:rsidR="0037578A" w:rsidRPr="0037578A">
        <w:t>in</w:t>
      </w:r>
      <w:r w:rsidR="00C75B39">
        <w:t>to</w:t>
      </w:r>
      <w:r w:rsidR="0037578A" w:rsidRPr="0037578A">
        <w:t xml:space="preserve"> 21/22. </w:t>
      </w:r>
      <w:r w:rsidR="0037578A" w:rsidRPr="001A2B35">
        <w:t xml:space="preserve">This </w:t>
      </w:r>
      <w:r w:rsidR="00AD2AF3" w:rsidRPr="001A2B35">
        <w:t xml:space="preserve">solution </w:t>
      </w:r>
      <w:r w:rsidR="0037578A" w:rsidRPr="001A2B35">
        <w:t xml:space="preserve">requires </w:t>
      </w:r>
      <w:r w:rsidR="000302DB" w:rsidRPr="001A2B35">
        <w:t xml:space="preserve">local authority applicants </w:t>
      </w:r>
      <w:r w:rsidR="0037578A" w:rsidRPr="001A2B35">
        <w:t xml:space="preserve">to </w:t>
      </w:r>
      <w:r w:rsidR="00A10B43">
        <w:t>respond</w:t>
      </w:r>
      <w:r w:rsidR="004F31DE">
        <w:t xml:space="preserve"> in a very short timescale</w:t>
      </w:r>
      <w:r w:rsidR="00F5063E">
        <w:t xml:space="preserve">, </w:t>
      </w:r>
      <w:r w:rsidR="00217A19" w:rsidRPr="001A2B35">
        <w:t>confirm</w:t>
      </w:r>
      <w:r w:rsidR="00F5063E">
        <w:t>ing</w:t>
      </w:r>
      <w:r w:rsidR="00217A19" w:rsidRPr="001A2B35">
        <w:t xml:space="preserve"> </w:t>
      </w:r>
      <w:r w:rsidR="000302DB" w:rsidRPr="001A2B35">
        <w:t>in writing by 2</w:t>
      </w:r>
      <w:r w:rsidR="001A2B35" w:rsidRPr="001A2B35">
        <w:t>0</w:t>
      </w:r>
      <w:r w:rsidR="001A2B35" w:rsidRPr="001A2B35">
        <w:rPr>
          <w:vertAlign w:val="superscript"/>
        </w:rPr>
        <w:t>th</w:t>
      </w:r>
      <w:r w:rsidR="001A2B35" w:rsidRPr="001A2B35">
        <w:t xml:space="preserve"> </w:t>
      </w:r>
      <w:r w:rsidR="000302DB" w:rsidRPr="001A2B35">
        <w:t xml:space="preserve">February </w:t>
      </w:r>
      <w:r w:rsidR="007F0D07" w:rsidRPr="001A2B35">
        <w:t xml:space="preserve">2021 </w:t>
      </w:r>
      <w:r w:rsidR="000302DB" w:rsidRPr="001A2B35">
        <w:t xml:space="preserve">that </w:t>
      </w:r>
      <w:r w:rsidR="00217A19" w:rsidRPr="001A2B35">
        <w:t xml:space="preserve">they </w:t>
      </w:r>
      <w:r w:rsidR="006321A6">
        <w:t xml:space="preserve">agree </w:t>
      </w:r>
      <w:r w:rsidR="00217A19" w:rsidRPr="001A2B35">
        <w:t>to receive funding in advance</w:t>
      </w:r>
      <w:r w:rsidR="007F0D07" w:rsidRPr="001A2B35">
        <w:t>,</w:t>
      </w:r>
      <w:r w:rsidR="00217A19" w:rsidRPr="001A2B35">
        <w:t xml:space="preserve"> and </w:t>
      </w:r>
      <w:r w:rsidR="007F0D07" w:rsidRPr="001A2B35">
        <w:t xml:space="preserve">then to </w:t>
      </w:r>
      <w:r w:rsidR="0037578A" w:rsidRPr="001A2B35">
        <w:t xml:space="preserve">enter into grant agreements with the Government </w:t>
      </w:r>
      <w:r w:rsidR="00217A19" w:rsidRPr="001A2B35">
        <w:t>prior to the end of this month.</w:t>
      </w:r>
      <w:r w:rsidR="00217A19">
        <w:t xml:space="preserve"> This will </w:t>
      </w:r>
      <w:r w:rsidR="0037578A" w:rsidRPr="0037578A">
        <w:t xml:space="preserve">enable the funding to be processed and paid to local authorities prior to the end of the 20/21 financial year.  </w:t>
      </w:r>
    </w:p>
    <w:p w14:paraId="7B8E587C" w14:textId="77777777" w:rsidR="00217A19" w:rsidRDefault="00217A19" w:rsidP="00203A44">
      <w:pPr>
        <w:ind w:left="720" w:hanging="720"/>
      </w:pPr>
    </w:p>
    <w:p w14:paraId="12833AB3" w14:textId="5F5620F1" w:rsidR="002559F3" w:rsidRDefault="00217A19" w:rsidP="00C4218F">
      <w:pPr>
        <w:ind w:left="720" w:hanging="720"/>
      </w:pPr>
      <w:r>
        <w:t xml:space="preserve">1.8 </w:t>
      </w:r>
      <w:r>
        <w:tab/>
      </w:r>
      <w:r w:rsidR="0037578A" w:rsidRPr="0037578A">
        <w:t>The Council is currently awaiting confirmation from Salix Finance as to which of its applications will be funde</w:t>
      </w:r>
      <w:r w:rsidR="000302DB">
        <w:t>d</w:t>
      </w:r>
      <w:r w:rsidR="00042D20">
        <w:t xml:space="preserve">. </w:t>
      </w:r>
      <w:r w:rsidR="006C3A02">
        <w:t>Early indication is that Application 2</w:t>
      </w:r>
      <w:r w:rsidR="000302DB">
        <w:t xml:space="preserve">, </w:t>
      </w:r>
      <w:r w:rsidR="00C4218F">
        <w:t xml:space="preserve">for works to </w:t>
      </w:r>
      <w:proofErr w:type="spellStart"/>
      <w:r w:rsidR="00C4218F">
        <w:t>Grimsdyke</w:t>
      </w:r>
      <w:proofErr w:type="spellEnd"/>
      <w:r w:rsidR="00C4218F">
        <w:t xml:space="preserve"> School, </w:t>
      </w:r>
      <w:proofErr w:type="spellStart"/>
      <w:r w:rsidR="00C4218F">
        <w:t>Milmans</w:t>
      </w:r>
      <w:proofErr w:type="spellEnd"/>
      <w:r w:rsidR="00C4218F">
        <w:t xml:space="preserve"> Resource Centre and Grange Primary School is potentially in scope for funding </w:t>
      </w:r>
      <w:r w:rsidR="005D2B07">
        <w:t>and is</w:t>
      </w:r>
      <w:r w:rsidR="003A1E95">
        <w:t xml:space="preserve"> subject to </w:t>
      </w:r>
      <w:r w:rsidR="00021ED7">
        <w:t xml:space="preserve">a </w:t>
      </w:r>
      <w:r w:rsidR="002559F3">
        <w:t>technical assessment</w:t>
      </w:r>
      <w:r w:rsidR="003A1E95">
        <w:t xml:space="preserve"> which is currently underway. </w:t>
      </w:r>
      <w:r w:rsidR="002559F3">
        <w:t xml:space="preserve"> </w:t>
      </w:r>
      <w:r w:rsidR="003A1E95">
        <w:t>However</w:t>
      </w:r>
      <w:r w:rsidR="00C40FA6">
        <w:t>,</w:t>
      </w:r>
      <w:r w:rsidR="003A1E95">
        <w:t xml:space="preserve"> </w:t>
      </w:r>
      <w:r w:rsidR="00C43C01">
        <w:t>the Council</w:t>
      </w:r>
      <w:r w:rsidR="0037578A" w:rsidRPr="0037578A">
        <w:t xml:space="preserve"> needs to be ready to move quickly to </w:t>
      </w:r>
      <w:r w:rsidR="00C43C01">
        <w:t xml:space="preserve">accept any funding and </w:t>
      </w:r>
      <w:proofErr w:type="gramStart"/>
      <w:r w:rsidR="0037578A" w:rsidRPr="0037578A">
        <w:t>enter into</w:t>
      </w:r>
      <w:proofErr w:type="gramEnd"/>
      <w:r w:rsidR="0037578A" w:rsidRPr="0037578A">
        <w:t xml:space="preserve"> the appropriate documentation with the secretary of state should it be successful</w:t>
      </w:r>
      <w:r w:rsidR="00C4218F">
        <w:t xml:space="preserve"> </w:t>
      </w:r>
      <w:r w:rsidR="00F7447A">
        <w:t xml:space="preserve">with </w:t>
      </w:r>
      <w:r w:rsidR="00C4218F">
        <w:t xml:space="preserve">any of its applications. </w:t>
      </w:r>
    </w:p>
    <w:p w14:paraId="06E7024A" w14:textId="77777777" w:rsidR="002559F3" w:rsidRDefault="002559F3" w:rsidP="00203A44">
      <w:pPr>
        <w:ind w:left="720" w:hanging="720"/>
      </w:pPr>
    </w:p>
    <w:p w14:paraId="42BEBB75" w14:textId="6F8293B4" w:rsidR="002559F3" w:rsidRDefault="002559F3" w:rsidP="00203A44">
      <w:pPr>
        <w:ind w:left="720" w:hanging="720"/>
      </w:pPr>
      <w:r>
        <w:t xml:space="preserve">1.9 </w:t>
      </w:r>
      <w:r>
        <w:tab/>
      </w:r>
      <w:r w:rsidR="0037578A" w:rsidRPr="0037578A">
        <w:t xml:space="preserve">Consequently it is recommended that authority is delegated to the Corporate Director – </w:t>
      </w:r>
      <w:r w:rsidR="0037578A" w:rsidRPr="00C75B39">
        <w:t xml:space="preserve">Community to accept any funding award and </w:t>
      </w:r>
      <w:r w:rsidR="00803D16" w:rsidRPr="00C75B39">
        <w:t xml:space="preserve">to </w:t>
      </w:r>
      <w:proofErr w:type="gramStart"/>
      <w:r w:rsidR="0037578A" w:rsidRPr="00C75B39">
        <w:t>enter into</w:t>
      </w:r>
      <w:proofErr w:type="gramEnd"/>
      <w:r w:rsidR="0037578A" w:rsidRPr="00C75B39">
        <w:t xml:space="preserve"> the necessary documentation to facilitate delivery of works for which funding has been secured. </w:t>
      </w:r>
      <w:r w:rsidR="0050491A" w:rsidRPr="00C75B39">
        <w:t xml:space="preserve">A further delegation is also requested to the Director of Finance to enable any grant funding award to be </w:t>
      </w:r>
      <w:r w:rsidR="006C1B4D" w:rsidRPr="00C75B39">
        <w:t>added to the capital programme when received.</w:t>
      </w:r>
      <w:r w:rsidR="006C1B4D">
        <w:t xml:space="preserve"> </w:t>
      </w:r>
    </w:p>
    <w:p w14:paraId="3F12579C" w14:textId="3CEEFF94" w:rsidR="000631C9" w:rsidRDefault="000631C9" w:rsidP="00E13AE1">
      <w:pPr>
        <w:ind w:left="720" w:hanging="720"/>
      </w:pPr>
    </w:p>
    <w:p w14:paraId="5331C8AF" w14:textId="7F6956D9" w:rsidR="0087019C" w:rsidRDefault="00C43C01" w:rsidP="003820B7">
      <w:pPr>
        <w:pStyle w:val="Heading3"/>
      </w:pPr>
      <w:r>
        <w:t xml:space="preserve">2. </w:t>
      </w:r>
      <w:r w:rsidR="0087019C">
        <w:tab/>
      </w:r>
      <w:r w:rsidR="00A71F05" w:rsidRPr="00A6606C">
        <w:t>Options considered</w:t>
      </w:r>
      <w:r w:rsidR="00A71F05" w:rsidRPr="00A6606C">
        <w:rPr>
          <w:color w:val="FF0000"/>
        </w:rPr>
        <w:t xml:space="preserve"> </w:t>
      </w:r>
    </w:p>
    <w:p w14:paraId="126845F5" w14:textId="0430B125" w:rsidR="0087019C" w:rsidRDefault="0087019C" w:rsidP="0087019C">
      <w:r>
        <w:t>2.1</w:t>
      </w:r>
      <w:r>
        <w:tab/>
      </w:r>
      <w:r w:rsidR="003B2EDB">
        <w:t>The Council has</w:t>
      </w:r>
      <w:r w:rsidR="007F0D07">
        <w:t xml:space="preserve"> two options</w:t>
      </w:r>
      <w:r w:rsidR="003B2EDB">
        <w:t>:</w:t>
      </w:r>
    </w:p>
    <w:p w14:paraId="5820DA09" w14:textId="7F596122" w:rsidR="003B2EDB" w:rsidRDefault="003B2EDB" w:rsidP="0087019C"/>
    <w:p w14:paraId="3923B1CB" w14:textId="72781F3F" w:rsidR="007F0D07" w:rsidRDefault="00CA464F" w:rsidP="007F0D07">
      <w:pPr>
        <w:ind w:left="1440" w:hanging="720"/>
      </w:pPr>
      <w:r>
        <w:t xml:space="preserve">(a) </w:t>
      </w:r>
      <w:r>
        <w:tab/>
      </w:r>
      <w:r w:rsidR="00B42EFB">
        <w:t>Formally a</w:t>
      </w:r>
      <w:r w:rsidR="003B2EDB">
        <w:t xml:space="preserve">gree </w:t>
      </w:r>
      <w:r w:rsidR="00E0247D">
        <w:t xml:space="preserve">prior </w:t>
      </w:r>
      <w:r w:rsidR="00E0247D" w:rsidRPr="00240DC0">
        <w:t>to 2</w:t>
      </w:r>
      <w:r w:rsidR="00240DC0" w:rsidRPr="00240DC0">
        <w:t>0</w:t>
      </w:r>
      <w:r w:rsidR="00240DC0" w:rsidRPr="00240DC0">
        <w:rPr>
          <w:vertAlign w:val="superscript"/>
        </w:rPr>
        <w:t>th</w:t>
      </w:r>
      <w:r w:rsidR="00240DC0" w:rsidRPr="00240DC0">
        <w:t xml:space="preserve"> </w:t>
      </w:r>
      <w:r w:rsidR="00E0247D" w:rsidRPr="00240DC0">
        <w:t>February 2021</w:t>
      </w:r>
      <w:r w:rsidR="00E0247D">
        <w:t xml:space="preserve"> </w:t>
      </w:r>
      <w:r w:rsidR="003B2EDB">
        <w:t>that it will receive any grant funding awarded to it</w:t>
      </w:r>
      <w:r w:rsidR="00E0247D">
        <w:t xml:space="preserve"> this financial year</w:t>
      </w:r>
      <w:r w:rsidR="00196F77">
        <w:t>, to be utilised in 21/22</w:t>
      </w:r>
      <w:r w:rsidR="00B42EFB">
        <w:t xml:space="preserve">. </w:t>
      </w:r>
    </w:p>
    <w:p w14:paraId="2CFA2896" w14:textId="77777777" w:rsidR="007F0D07" w:rsidRDefault="007F0D07" w:rsidP="007F0D07">
      <w:pPr>
        <w:ind w:left="1440" w:hanging="720"/>
      </w:pPr>
    </w:p>
    <w:p w14:paraId="22D8975B" w14:textId="00DD71E0" w:rsidR="006A3706" w:rsidRDefault="007F0D07" w:rsidP="007F0D07">
      <w:pPr>
        <w:ind w:left="1440" w:hanging="720"/>
      </w:pPr>
      <w:r>
        <w:t xml:space="preserve">(b) </w:t>
      </w:r>
      <w:r>
        <w:tab/>
      </w:r>
      <w:r w:rsidR="006A3706">
        <w:t>Decline to accept any funding award.</w:t>
      </w:r>
    </w:p>
    <w:p w14:paraId="53E7FD51" w14:textId="77777777" w:rsidR="006A3706" w:rsidRDefault="006A3706" w:rsidP="006A3706"/>
    <w:p w14:paraId="76D16D5A" w14:textId="5955E4AE" w:rsidR="002700B4" w:rsidRDefault="006A3706" w:rsidP="0013338C">
      <w:pPr>
        <w:ind w:left="720" w:hanging="720"/>
      </w:pPr>
      <w:r>
        <w:t>2.2</w:t>
      </w:r>
      <w:r>
        <w:tab/>
      </w:r>
      <w:r w:rsidR="00133D08">
        <w:t xml:space="preserve">Salix Finance have made </w:t>
      </w:r>
      <w:r w:rsidR="00334853">
        <w:t xml:space="preserve">it </w:t>
      </w:r>
      <w:r w:rsidR="00133D08">
        <w:t>clear that a</w:t>
      </w:r>
      <w:r w:rsidR="001D0355">
        <w:t xml:space="preserve"> failure to meet the </w:t>
      </w:r>
      <w:r w:rsidR="00133D08">
        <w:t xml:space="preserve">February </w:t>
      </w:r>
      <w:r w:rsidR="001D0355">
        <w:t xml:space="preserve">deadline </w:t>
      </w:r>
      <w:r w:rsidR="00986BDA">
        <w:t xml:space="preserve">in order </w:t>
      </w:r>
      <w:r w:rsidR="001D0355">
        <w:t xml:space="preserve">to confirm </w:t>
      </w:r>
      <w:r w:rsidR="00E86CFC">
        <w:t xml:space="preserve">acceptance of funding </w:t>
      </w:r>
      <w:r w:rsidR="00133D08">
        <w:t xml:space="preserve">means that </w:t>
      </w:r>
      <w:r w:rsidR="00BD4539">
        <w:t xml:space="preserve">applicants will </w:t>
      </w:r>
      <w:r w:rsidR="00BF5031">
        <w:t xml:space="preserve">not </w:t>
      </w:r>
      <w:r w:rsidR="00BD4539">
        <w:t>receive funding towards decarbonisation works.</w:t>
      </w:r>
      <w:r w:rsidR="00385BF8">
        <w:t xml:space="preserve"> This is an opportunity to receive significant grant</w:t>
      </w:r>
      <w:r w:rsidR="003F1DD0">
        <w:t xml:space="preserve"> on a 100% fully funded </w:t>
      </w:r>
      <w:r w:rsidR="00E71636">
        <w:t>bas</w:t>
      </w:r>
      <w:r w:rsidR="00771963">
        <w:t>i</w:t>
      </w:r>
      <w:r w:rsidR="00E71636">
        <w:t xml:space="preserve">s </w:t>
      </w:r>
      <w:r w:rsidR="00385BF8">
        <w:t xml:space="preserve">that </w:t>
      </w:r>
      <w:r w:rsidR="00334853">
        <w:t>meets the Council’s strategic objective to decarbonise its estat</w:t>
      </w:r>
      <w:r w:rsidR="00E71636">
        <w:t>e. O</w:t>
      </w:r>
      <w:r w:rsidR="00334853">
        <w:t xml:space="preserve">ption </w:t>
      </w:r>
      <w:r w:rsidR="00385BF8">
        <w:t xml:space="preserve">(a) </w:t>
      </w:r>
      <w:r w:rsidR="00986BDA">
        <w:t>is therefore recommended</w:t>
      </w:r>
      <w:r w:rsidR="00385BF8">
        <w:t xml:space="preserve">. </w:t>
      </w:r>
    </w:p>
    <w:p w14:paraId="7C1519C1" w14:textId="04485B0D" w:rsidR="0013338C" w:rsidRDefault="0013338C" w:rsidP="0013338C">
      <w:pPr>
        <w:ind w:left="720" w:hanging="720"/>
      </w:pPr>
    </w:p>
    <w:p w14:paraId="66D9A756" w14:textId="77777777" w:rsidR="0013338C" w:rsidRPr="0013338C" w:rsidRDefault="0013338C" w:rsidP="0013338C">
      <w:pPr>
        <w:ind w:left="720" w:hanging="720"/>
      </w:pPr>
    </w:p>
    <w:p w14:paraId="347203C2" w14:textId="248A81A1" w:rsidR="00A71F05" w:rsidRPr="0083526E" w:rsidRDefault="00BC22DC" w:rsidP="00192F10">
      <w:pPr>
        <w:spacing w:after="240"/>
        <w:rPr>
          <w:rFonts w:cs="Arial"/>
          <w:b/>
          <w:color w:val="000000" w:themeColor="text1"/>
          <w:sz w:val="28"/>
          <w:szCs w:val="28"/>
        </w:rPr>
      </w:pPr>
      <w:r w:rsidRPr="0083526E">
        <w:rPr>
          <w:rFonts w:cs="Arial"/>
          <w:b/>
          <w:color w:val="000000" w:themeColor="text1"/>
          <w:sz w:val="28"/>
          <w:szCs w:val="28"/>
        </w:rPr>
        <w:t>3.</w:t>
      </w:r>
      <w:r w:rsidRPr="0083526E">
        <w:rPr>
          <w:rFonts w:cs="Arial"/>
          <w:b/>
          <w:color w:val="000000" w:themeColor="text1"/>
          <w:sz w:val="28"/>
          <w:szCs w:val="28"/>
        </w:rPr>
        <w:tab/>
      </w:r>
      <w:r w:rsidR="00A71F05" w:rsidRPr="0083526E">
        <w:rPr>
          <w:rFonts w:cs="Arial"/>
          <w:b/>
          <w:color w:val="000000" w:themeColor="text1"/>
          <w:sz w:val="28"/>
          <w:szCs w:val="28"/>
        </w:rPr>
        <w:t>Implications of the Recommendation</w:t>
      </w:r>
    </w:p>
    <w:p w14:paraId="4A9DD072" w14:textId="77777777" w:rsidR="0083526E" w:rsidRPr="00280501" w:rsidRDefault="0083526E" w:rsidP="00BB0863">
      <w:pPr>
        <w:pStyle w:val="Heading4"/>
        <w:keepNext w:val="0"/>
        <w:widowControl w:val="0"/>
        <w:rPr>
          <w:color w:val="000000" w:themeColor="text1"/>
        </w:rPr>
      </w:pPr>
    </w:p>
    <w:p w14:paraId="47E659CE" w14:textId="6CA6281F" w:rsidR="00A71F05" w:rsidRPr="00280501" w:rsidRDefault="00A71F05" w:rsidP="00BB0863">
      <w:pPr>
        <w:pStyle w:val="Heading4"/>
        <w:keepNext w:val="0"/>
        <w:widowControl w:val="0"/>
        <w:rPr>
          <w:color w:val="000000" w:themeColor="text1"/>
        </w:rPr>
      </w:pPr>
      <w:r w:rsidRPr="00280501">
        <w:rPr>
          <w:color w:val="000000" w:themeColor="text1"/>
        </w:rPr>
        <w:t>Resources</w:t>
      </w:r>
      <w:r w:rsidR="0083526E" w:rsidRPr="00280501">
        <w:rPr>
          <w:color w:val="000000" w:themeColor="text1"/>
        </w:rPr>
        <w:t xml:space="preserve"> and Staffing </w:t>
      </w:r>
    </w:p>
    <w:p w14:paraId="6B101C0F" w14:textId="77777777" w:rsidR="00BB0863" w:rsidRDefault="00BB0863" w:rsidP="00BB0863">
      <w:pPr>
        <w:pStyle w:val="Heading4"/>
        <w:keepNext w:val="0"/>
        <w:widowControl w:val="0"/>
        <w:rPr>
          <w:color w:val="0000FF"/>
        </w:rPr>
      </w:pPr>
    </w:p>
    <w:p w14:paraId="782ED8F8" w14:textId="0735C9C8" w:rsidR="00A6613F" w:rsidRDefault="00931684" w:rsidP="003820B7">
      <w:pPr>
        <w:ind w:left="720" w:hanging="720"/>
        <w:rPr>
          <w:b/>
        </w:rPr>
      </w:pPr>
      <w:r>
        <w:lastRenderedPageBreak/>
        <w:t>3.1</w:t>
      </w:r>
      <w:r>
        <w:tab/>
      </w:r>
      <w:r w:rsidR="00A6613F">
        <w:t xml:space="preserve">The projects for which grant funding have been applied for can be delivered within existing resources. </w:t>
      </w:r>
    </w:p>
    <w:p w14:paraId="477C14F1" w14:textId="0002577F" w:rsidR="005052B6" w:rsidRDefault="00280501" w:rsidP="00192F10">
      <w:pPr>
        <w:pStyle w:val="Heading3"/>
        <w:rPr>
          <w:sz w:val="24"/>
          <w:szCs w:val="24"/>
        </w:rPr>
      </w:pPr>
      <w:r w:rsidRPr="00280501">
        <w:rPr>
          <w:sz w:val="24"/>
          <w:szCs w:val="24"/>
        </w:rPr>
        <w:t>R</w:t>
      </w:r>
      <w:r w:rsidR="005052B6" w:rsidRPr="00280501">
        <w:rPr>
          <w:sz w:val="24"/>
          <w:szCs w:val="24"/>
        </w:rPr>
        <w:t>isk Management Implications</w:t>
      </w:r>
    </w:p>
    <w:p w14:paraId="58193232" w14:textId="1F6F24C2" w:rsidR="005052B6" w:rsidRPr="002F2EC5" w:rsidRDefault="006961A3" w:rsidP="001219BA">
      <w:pPr>
        <w:rPr>
          <w:color w:val="000000" w:themeColor="text1"/>
        </w:rPr>
      </w:pPr>
      <w:r>
        <w:t>3.2</w:t>
      </w:r>
      <w:r>
        <w:tab/>
      </w:r>
      <w:r w:rsidR="005052B6" w:rsidRPr="002F2EC5">
        <w:rPr>
          <w:rFonts w:cs="Arial"/>
          <w:color w:val="000000" w:themeColor="text1"/>
          <w:szCs w:val="24"/>
          <w:lang w:val="en-US"/>
        </w:rPr>
        <w:t>Risk included on Directorate risk register?  No</w:t>
      </w:r>
      <w:r w:rsidR="005052B6" w:rsidRPr="002F2EC5">
        <w:rPr>
          <w:rFonts w:cs="Arial"/>
          <w:color w:val="000000" w:themeColor="text1"/>
          <w:szCs w:val="24"/>
          <w:lang w:val="en-US"/>
        </w:rPr>
        <w:tab/>
      </w:r>
    </w:p>
    <w:p w14:paraId="48FC8311" w14:textId="77777777" w:rsidR="001219BA" w:rsidRPr="002F2EC5" w:rsidRDefault="001219BA" w:rsidP="005052B6">
      <w:pPr>
        <w:ind w:right="141"/>
        <w:rPr>
          <w:rFonts w:cs="Arial"/>
          <w:color w:val="000000" w:themeColor="text1"/>
          <w:szCs w:val="24"/>
          <w:lang w:val="en-US" w:eastAsia="en-GB"/>
        </w:rPr>
      </w:pPr>
    </w:p>
    <w:p w14:paraId="59A78260" w14:textId="5ABC4BF9" w:rsidR="005052B6" w:rsidRPr="002F2EC5" w:rsidRDefault="005052B6" w:rsidP="001219BA">
      <w:pPr>
        <w:ind w:right="141" w:firstLine="720"/>
        <w:rPr>
          <w:rFonts w:cs="Arial"/>
          <w:color w:val="000000" w:themeColor="text1"/>
          <w:szCs w:val="24"/>
          <w:lang w:val="en-US" w:eastAsia="en-GB"/>
        </w:rPr>
      </w:pPr>
      <w:r w:rsidRPr="002F2EC5">
        <w:rPr>
          <w:rFonts w:cs="Arial"/>
          <w:color w:val="000000" w:themeColor="text1"/>
          <w:szCs w:val="24"/>
          <w:lang w:val="en-US" w:eastAsia="en-GB"/>
        </w:rPr>
        <w:t>Separate risk register in place?  Yes</w:t>
      </w:r>
    </w:p>
    <w:p w14:paraId="0A419164" w14:textId="77777777" w:rsidR="005052B6" w:rsidRPr="002F2EC5" w:rsidRDefault="005052B6" w:rsidP="005052B6">
      <w:pPr>
        <w:rPr>
          <w:color w:val="000000" w:themeColor="text1"/>
        </w:rPr>
      </w:pPr>
    </w:p>
    <w:p w14:paraId="30F36887" w14:textId="0212EB8F" w:rsidR="00EB5486" w:rsidRDefault="001219BA" w:rsidP="007938FF">
      <w:pPr>
        <w:autoSpaceDE w:val="0"/>
        <w:autoSpaceDN w:val="0"/>
        <w:adjustRightInd w:val="0"/>
        <w:ind w:left="720" w:hanging="720"/>
      </w:pPr>
      <w:r>
        <w:t>3.3</w:t>
      </w:r>
      <w:r>
        <w:tab/>
      </w:r>
      <w:r w:rsidR="00863D4B">
        <w:t>The main risks to delivery of grant funded works concern</w:t>
      </w:r>
      <w:r w:rsidR="00E43079">
        <w:t xml:space="preserve"> compliance with the delivery timetable and the risk of cost overruns. </w:t>
      </w:r>
      <w:r w:rsidR="008164CF">
        <w:t xml:space="preserve">If grant funding is awarded the Council will need to ensure </w:t>
      </w:r>
      <w:r w:rsidR="00423CE6">
        <w:t xml:space="preserve">completion </w:t>
      </w:r>
      <w:r w:rsidR="008164CF">
        <w:t>of the works</w:t>
      </w:r>
      <w:r w:rsidR="003720F3">
        <w:t xml:space="preserve"> by 30</w:t>
      </w:r>
      <w:r w:rsidR="003720F3" w:rsidRPr="003720F3">
        <w:rPr>
          <w:vertAlign w:val="superscript"/>
        </w:rPr>
        <w:t>th</w:t>
      </w:r>
      <w:r w:rsidR="003720F3">
        <w:t xml:space="preserve"> September 202</w:t>
      </w:r>
      <w:r w:rsidR="007938FF">
        <w:t>1</w:t>
      </w:r>
      <w:r w:rsidR="00A24F3C">
        <w:t xml:space="preserve"> in accordance with the terms of the PSDS</w:t>
      </w:r>
      <w:r w:rsidR="003720F3">
        <w:t xml:space="preserve">. </w:t>
      </w:r>
      <w:r w:rsidR="008164CF">
        <w:t xml:space="preserve">The </w:t>
      </w:r>
      <w:r w:rsidR="00EB42B2">
        <w:t xml:space="preserve">proposed </w:t>
      </w:r>
      <w:r w:rsidR="008164CF">
        <w:t xml:space="preserve">utilisation of existing frameworks </w:t>
      </w:r>
      <w:r w:rsidR="003720F3">
        <w:t xml:space="preserve">(see procurement implications below) </w:t>
      </w:r>
      <w:r w:rsidR="008164CF">
        <w:t>will</w:t>
      </w:r>
      <w:r w:rsidR="003720F3">
        <w:t xml:space="preserve"> </w:t>
      </w:r>
      <w:r w:rsidR="00EB42B2">
        <w:t xml:space="preserve">enable </w:t>
      </w:r>
      <w:r w:rsidR="00A24F3C">
        <w:t>reduced procurement and commissioning lead in times</w:t>
      </w:r>
      <w:r w:rsidR="008433A7">
        <w:t xml:space="preserve">, </w:t>
      </w:r>
      <w:r w:rsidR="005C3450">
        <w:t xml:space="preserve">and the works will be closely monitored by a project board to ensure compliance with </w:t>
      </w:r>
      <w:r w:rsidR="00875371">
        <w:t xml:space="preserve">the grant </w:t>
      </w:r>
      <w:r w:rsidR="005C3450">
        <w:t>delivery tim</w:t>
      </w:r>
      <w:r w:rsidR="00EB5486">
        <w:t>escales.</w:t>
      </w:r>
      <w:r w:rsidR="00EB5486" w:rsidRPr="00EB5486">
        <w:t xml:space="preserve"> </w:t>
      </w:r>
      <w:r w:rsidR="00EB5486">
        <w:t xml:space="preserve">It is envisaged that </w:t>
      </w:r>
      <w:r w:rsidR="008433A7">
        <w:t xml:space="preserve">any </w:t>
      </w:r>
      <w:r w:rsidR="00EB5486">
        <w:t xml:space="preserve">significant works to school heating systems will be carried out </w:t>
      </w:r>
      <w:r w:rsidR="00154B0A">
        <w:t xml:space="preserve">over the summer period when the schools are closed. </w:t>
      </w:r>
    </w:p>
    <w:p w14:paraId="0DE153DA" w14:textId="77777777" w:rsidR="00115683" w:rsidRDefault="00115683" w:rsidP="00476E9F">
      <w:pPr>
        <w:autoSpaceDE w:val="0"/>
        <w:autoSpaceDN w:val="0"/>
        <w:adjustRightInd w:val="0"/>
      </w:pPr>
    </w:p>
    <w:p w14:paraId="4AE92C12" w14:textId="2AE38E37" w:rsidR="00192F10" w:rsidRDefault="00115683" w:rsidP="003820B7">
      <w:pPr>
        <w:autoSpaceDE w:val="0"/>
        <w:autoSpaceDN w:val="0"/>
        <w:adjustRightInd w:val="0"/>
        <w:ind w:left="720" w:hanging="720"/>
      </w:pPr>
      <w:r>
        <w:t xml:space="preserve">3.4 </w:t>
      </w:r>
      <w:r w:rsidR="00154B0A">
        <w:tab/>
      </w:r>
      <w:r w:rsidR="002F2EC5">
        <w:t>C</w:t>
      </w:r>
      <w:r>
        <w:t xml:space="preserve">osts have been calculated </w:t>
      </w:r>
      <w:r w:rsidR="002F2EC5">
        <w:t xml:space="preserve">for the funding applications </w:t>
      </w:r>
      <w:r>
        <w:t>by the Council’s professional advisors</w:t>
      </w:r>
      <w:r w:rsidR="00CD56E6">
        <w:t xml:space="preserve"> following site surveys </w:t>
      </w:r>
      <w:r w:rsidR="00154B0A">
        <w:t>based upon</w:t>
      </w:r>
      <w:r w:rsidR="002F2EC5">
        <w:t xml:space="preserve"> </w:t>
      </w:r>
      <w:r w:rsidR="00202359">
        <w:t>prevailing</w:t>
      </w:r>
      <w:r w:rsidR="002F2EC5">
        <w:t xml:space="preserve"> market rates for the </w:t>
      </w:r>
      <w:r w:rsidR="00933D32">
        <w:t xml:space="preserve">different </w:t>
      </w:r>
      <w:r w:rsidR="002F2EC5">
        <w:t xml:space="preserve">type of </w:t>
      </w:r>
      <w:r w:rsidR="00202359">
        <w:t>energy intervention</w:t>
      </w:r>
      <w:r w:rsidR="00933D32">
        <w:t xml:space="preserve">s specified </w:t>
      </w:r>
      <w:r w:rsidR="00154B0A">
        <w:t xml:space="preserve">and a contingency has also been included. Upon receipt of a grant funding award the </w:t>
      </w:r>
      <w:r w:rsidR="00202359">
        <w:t>Council</w:t>
      </w:r>
      <w:r w:rsidR="00154B0A">
        <w:t xml:space="preserve"> will engage with </w:t>
      </w:r>
      <w:r w:rsidR="00FC5097">
        <w:t xml:space="preserve">its professional </w:t>
      </w:r>
      <w:r w:rsidR="002B595A">
        <w:t xml:space="preserve">advisors </w:t>
      </w:r>
      <w:r w:rsidR="00FC5097">
        <w:t xml:space="preserve">to produce </w:t>
      </w:r>
      <w:r w:rsidR="00202359">
        <w:t xml:space="preserve">a </w:t>
      </w:r>
      <w:r w:rsidR="00FC5097">
        <w:t xml:space="preserve">detailed </w:t>
      </w:r>
      <w:r w:rsidR="00202359">
        <w:t xml:space="preserve">scope of work and costing estimates. </w:t>
      </w:r>
      <w:r w:rsidR="00FC5097">
        <w:t xml:space="preserve">Any </w:t>
      </w:r>
      <w:r w:rsidR="00C24848">
        <w:t xml:space="preserve">significant discrepancies will be </w:t>
      </w:r>
      <w:r w:rsidR="00933D32">
        <w:t xml:space="preserve">reviewed and as appropriate discussed with the funder before proceeding. </w:t>
      </w:r>
      <w:r w:rsidR="00492048">
        <w:t>Generally, incurred co</w:t>
      </w:r>
      <w:r w:rsidR="00FC5097">
        <w:t xml:space="preserve">sts will be monitored </w:t>
      </w:r>
      <w:r w:rsidR="0039500A">
        <w:t xml:space="preserve">on a regular basis against </w:t>
      </w:r>
      <w:r w:rsidR="004877F2">
        <w:t xml:space="preserve">the grant funding award </w:t>
      </w:r>
      <w:r w:rsidR="00FC5097">
        <w:t>by the project board.</w:t>
      </w:r>
    </w:p>
    <w:p w14:paraId="08E2255F" w14:textId="77777777" w:rsidR="00114AB9" w:rsidRPr="00492DF6" w:rsidRDefault="00114AB9" w:rsidP="00192F10">
      <w:pPr>
        <w:pStyle w:val="Heading3"/>
        <w:rPr>
          <w:sz w:val="24"/>
          <w:szCs w:val="24"/>
        </w:rPr>
      </w:pPr>
      <w:r w:rsidRPr="00492DF6">
        <w:rPr>
          <w:sz w:val="24"/>
          <w:szCs w:val="24"/>
        </w:rPr>
        <w:t xml:space="preserve">Procurement Implications </w:t>
      </w:r>
    </w:p>
    <w:p w14:paraId="4777F541" w14:textId="77777777" w:rsidR="000C11F4" w:rsidRDefault="00C97C12" w:rsidP="00C9022C">
      <w:pPr>
        <w:spacing w:before="240"/>
        <w:ind w:left="720" w:hanging="720"/>
        <w:rPr>
          <w:color w:val="000000" w:themeColor="text1"/>
        </w:rPr>
      </w:pPr>
      <w:r w:rsidRPr="006478D3">
        <w:rPr>
          <w:color w:val="000000" w:themeColor="text1"/>
        </w:rPr>
        <w:t>3.5</w:t>
      </w:r>
      <w:r w:rsidRPr="006478D3">
        <w:rPr>
          <w:color w:val="000000" w:themeColor="text1"/>
        </w:rPr>
        <w:tab/>
      </w:r>
      <w:r w:rsidR="009C3F4E" w:rsidRPr="006478D3">
        <w:rPr>
          <w:color w:val="000000" w:themeColor="text1"/>
        </w:rPr>
        <w:t>All</w:t>
      </w:r>
      <w:r w:rsidR="00EF4307" w:rsidRPr="006478D3">
        <w:rPr>
          <w:color w:val="000000" w:themeColor="text1"/>
        </w:rPr>
        <w:t xml:space="preserve"> works are proposed to be delivered utilising existing </w:t>
      </w:r>
      <w:r w:rsidR="00CE6507" w:rsidRPr="006478D3">
        <w:rPr>
          <w:color w:val="000000" w:themeColor="text1"/>
        </w:rPr>
        <w:t xml:space="preserve">capital works and professional services </w:t>
      </w:r>
      <w:r w:rsidR="00EF4307" w:rsidRPr="006478D3">
        <w:rPr>
          <w:color w:val="000000" w:themeColor="text1"/>
        </w:rPr>
        <w:t>frameworks</w:t>
      </w:r>
      <w:r w:rsidR="00247817" w:rsidRPr="006478D3">
        <w:rPr>
          <w:color w:val="000000" w:themeColor="text1"/>
        </w:rPr>
        <w:t xml:space="preserve"> that have </w:t>
      </w:r>
      <w:r w:rsidR="00543863" w:rsidRPr="006478D3">
        <w:rPr>
          <w:color w:val="000000" w:themeColor="text1"/>
        </w:rPr>
        <w:t xml:space="preserve">already procured in compliance with the public </w:t>
      </w:r>
      <w:r w:rsidR="009C3F4E" w:rsidRPr="006478D3">
        <w:rPr>
          <w:color w:val="000000" w:themeColor="text1"/>
        </w:rPr>
        <w:t xml:space="preserve">procurement rules. The Council’s corporate </w:t>
      </w:r>
      <w:r w:rsidR="00776374" w:rsidRPr="006478D3">
        <w:rPr>
          <w:color w:val="000000" w:themeColor="text1"/>
        </w:rPr>
        <w:t xml:space="preserve">capital works and professional services </w:t>
      </w:r>
      <w:r w:rsidR="009C3F4E" w:rsidRPr="006478D3">
        <w:rPr>
          <w:color w:val="000000" w:themeColor="text1"/>
        </w:rPr>
        <w:t>framework</w:t>
      </w:r>
      <w:r w:rsidR="00776374" w:rsidRPr="006478D3">
        <w:rPr>
          <w:color w:val="000000" w:themeColor="text1"/>
        </w:rPr>
        <w:t>s</w:t>
      </w:r>
      <w:r w:rsidR="009C3F4E" w:rsidRPr="006478D3">
        <w:rPr>
          <w:color w:val="000000" w:themeColor="text1"/>
        </w:rPr>
        <w:t xml:space="preserve"> would be utilised for</w:t>
      </w:r>
      <w:r w:rsidR="00247817" w:rsidRPr="006478D3">
        <w:rPr>
          <w:color w:val="000000" w:themeColor="text1"/>
        </w:rPr>
        <w:t xml:space="preserve"> any funded works in Applications 1 and 2 </w:t>
      </w:r>
      <w:r w:rsidR="00E47ABF" w:rsidRPr="006478D3">
        <w:rPr>
          <w:color w:val="000000" w:themeColor="text1"/>
        </w:rPr>
        <w:t>(</w:t>
      </w:r>
      <w:r w:rsidR="00247817" w:rsidRPr="006478D3">
        <w:rPr>
          <w:color w:val="000000" w:themeColor="text1"/>
        </w:rPr>
        <w:t>listed in the Appendix</w:t>
      </w:r>
      <w:r w:rsidR="00E47ABF" w:rsidRPr="006478D3">
        <w:rPr>
          <w:color w:val="000000" w:themeColor="text1"/>
        </w:rPr>
        <w:t xml:space="preserve">). </w:t>
      </w:r>
      <w:r w:rsidR="00A055DF">
        <w:rPr>
          <w:color w:val="000000" w:themeColor="text1"/>
        </w:rPr>
        <w:t xml:space="preserve">For </w:t>
      </w:r>
      <w:r w:rsidR="00E47ABF" w:rsidRPr="006478D3">
        <w:rPr>
          <w:color w:val="000000" w:themeColor="text1"/>
        </w:rPr>
        <w:t xml:space="preserve">Applications </w:t>
      </w:r>
      <w:r w:rsidR="00EC6049" w:rsidRPr="006478D3">
        <w:rPr>
          <w:color w:val="000000" w:themeColor="text1"/>
        </w:rPr>
        <w:t>3-7</w:t>
      </w:r>
      <w:r w:rsidR="009E6953" w:rsidRPr="006478D3">
        <w:rPr>
          <w:color w:val="000000" w:themeColor="text1"/>
        </w:rPr>
        <w:t>,</w:t>
      </w:r>
      <w:r w:rsidR="00EC6049" w:rsidRPr="006478D3">
        <w:rPr>
          <w:color w:val="000000" w:themeColor="text1"/>
        </w:rPr>
        <w:t xml:space="preserve"> </w:t>
      </w:r>
      <w:r w:rsidR="009E6953" w:rsidRPr="006478D3">
        <w:rPr>
          <w:color w:val="000000" w:themeColor="text1"/>
        </w:rPr>
        <w:t xml:space="preserve">although at present it appears unlikely that these </w:t>
      </w:r>
      <w:r w:rsidR="00776374" w:rsidRPr="006478D3">
        <w:rPr>
          <w:color w:val="000000" w:themeColor="text1"/>
        </w:rPr>
        <w:t xml:space="preserve">are in scope for funding, should these be successful </w:t>
      </w:r>
      <w:r w:rsidR="0052245B" w:rsidRPr="006478D3">
        <w:rPr>
          <w:color w:val="000000" w:themeColor="text1"/>
        </w:rPr>
        <w:t xml:space="preserve">Harrow would propose appointing </w:t>
      </w:r>
      <w:r w:rsidR="00A055DF">
        <w:rPr>
          <w:color w:val="000000" w:themeColor="text1"/>
        </w:rPr>
        <w:t xml:space="preserve">a delivery partner </w:t>
      </w:r>
      <w:r w:rsidR="0052245B" w:rsidRPr="006478D3">
        <w:rPr>
          <w:color w:val="000000" w:themeColor="text1"/>
        </w:rPr>
        <w:t xml:space="preserve">via the Energy Services and Project Delivery Framework (ESPD) procured </w:t>
      </w:r>
      <w:r w:rsidR="00C9022C">
        <w:rPr>
          <w:color w:val="000000" w:themeColor="text1"/>
        </w:rPr>
        <w:t xml:space="preserve">in 2020 </w:t>
      </w:r>
      <w:r w:rsidR="0052245B" w:rsidRPr="006478D3">
        <w:rPr>
          <w:color w:val="000000" w:themeColor="text1"/>
        </w:rPr>
        <w:t>by Cambridgeshire County Council (CCC)</w:t>
      </w:r>
      <w:r w:rsidR="00C9022C">
        <w:rPr>
          <w:color w:val="000000" w:themeColor="text1"/>
        </w:rPr>
        <w:t xml:space="preserve">. Council officers engaged with CCC </w:t>
      </w:r>
      <w:r w:rsidR="00EC4DFF">
        <w:rPr>
          <w:color w:val="000000" w:themeColor="text1"/>
        </w:rPr>
        <w:t>colleagues</w:t>
      </w:r>
      <w:r w:rsidR="00C9022C">
        <w:rPr>
          <w:color w:val="000000" w:themeColor="text1"/>
        </w:rPr>
        <w:t xml:space="preserve"> </w:t>
      </w:r>
      <w:r w:rsidR="00EC4DFF">
        <w:rPr>
          <w:color w:val="000000" w:themeColor="text1"/>
        </w:rPr>
        <w:t xml:space="preserve">in the preparation of the applications, </w:t>
      </w:r>
      <w:r w:rsidR="00C9022C">
        <w:rPr>
          <w:color w:val="000000" w:themeColor="text1"/>
        </w:rPr>
        <w:t xml:space="preserve">and </w:t>
      </w:r>
      <w:r w:rsidR="009D5768">
        <w:rPr>
          <w:color w:val="000000" w:themeColor="text1"/>
        </w:rPr>
        <w:t xml:space="preserve">are satisfied that </w:t>
      </w:r>
      <w:r w:rsidR="00C9022C">
        <w:rPr>
          <w:color w:val="000000" w:themeColor="text1"/>
        </w:rPr>
        <w:t xml:space="preserve">the framework, </w:t>
      </w:r>
      <w:r w:rsidR="00C8677E">
        <w:rPr>
          <w:color w:val="000000" w:themeColor="text1"/>
        </w:rPr>
        <w:t>which can be accessed by other local authorities</w:t>
      </w:r>
      <w:r w:rsidR="00C9022C">
        <w:rPr>
          <w:color w:val="000000" w:themeColor="text1"/>
        </w:rPr>
        <w:t>,</w:t>
      </w:r>
      <w:r w:rsidR="00927DAF">
        <w:rPr>
          <w:color w:val="000000" w:themeColor="text1"/>
        </w:rPr>
        <w:t xml:space="preserve"> would meet the council’s delivery requirements.</w:t>
      </w:r>
    </w:p>
    <w:p w14:paraId="575DAFC2" w14:textId="3128A79B" w:rsidR="00247409" w:rsidRDefault="000C11F4" w:rsidP="000C11F4">
      <w:pPr>
        <w:spacing w:before="240"/>
        <w:ind w:left="720"/>
        <w:rPr>
          <w:color w:val="000000" w:themeColor="text1"/>
        </w:rPr>
      </w:pPr>
      <w:r w:rsidRPr="00C75B39">
        <w:rPr>
          <w:color w:val="000000" w:themeColor="text1"/>
        </w:rPr>
        <w:t xml:space="preserve">Where there is a need to deviate from the above proposed procurement routes and strategies this will be done </w:t>
      </w:r>
      <w:r w:rsidR="0072707E" w:rsidRPr="00C75B39">
        <w:rPr>
          <w:color w:val="000000" w:themeColor="text1"/>
        </w:rPr>
        <w:t xml:space="preserve">in a manner which is </w:t>
      </w:r>
      <w:r w:rsidRPr="00C75B39">
        <w:rPr>
          <w:color w:val="000000" w:themeColor="text1"/>
        </w:rPr>
        <w:t xml:space="preserve">compliant with the Public Contract Regulations (as amended) and </w:t>
      </w:r>
      <w:r w:rsidRPr="00C75B39">
        <w:rPr>
          <w:color w:val="000000" w:themeColor="text1"/>
        </w:rPr>
        <w:lastRenderedPageBreak/>
        <w:t>the Council’s Contract Procedure Rules. This will be in consultation with the Corporate Director – Communit</w:t>
      </w:r>
      <w:r w:rsidR="00CF4FBB" w:rsidRPr="00C75B39">
        <w:rPr>
          <w:color w:val="000000" w:themeColor="text1"/>
        </w:rPr>
        <w:t>y</w:t>
      </w:r>
      <w:r w:rsidRPr="00C75B39">
        <w:rPr>
          <w:color w:val="000000" w:themeColor="text1"/>
        </w:rPr>
        <w:t xml:space="preserve"> and with the professional support and advice of the Head of Procurement.</w:t>
      </w:r>
      <w:r w:rsidRPr="000C11F4">
        <w:rPr>
          <w:color w:val="000000" w:themeColor="text1"/>
        </w:rPr>
        <w:t xml:space="preserve">  </w:t>
      </w:r>
    </w:p>
    <w:p w14:paraId="342987CC" w14:textId="0DFDBA25" w:rsidR="00927DAF" w:rsidRDefault="00C84140" w:rsidP="00492DF6">
      <w:pPr>
        <w:pStyle w:val="Heading3"/>
        <w:keepNext/>
      </w:pPr>
      <w:r w:rsidRPr="00492DF6">
        <w:rPr>
          <w:sz w:val="24"/>
          <w:szCs w:val="24"/>
        </w:rPr>
        <w:t>Legal Implications</w:t>
      </w:r>
    </w:p>
    <w:p w14:paraId="2D340E58" w14:textId="1B2A787F" w:rsidR="003820B7" w:rsidRDefault="00927DAF" w:rsidP="00A47E59">
      <w:pPr>
        <w:ind w:left="720" w:hanging="720"/>
      </w:pPr>
      <w:r>
        <w:t>3.6</w:t>
      </w:r>
      <w:r>
        <w:tab/>
      </w:r>
      <w:r w:rsidR="00BE42CA">
        <w:t xml:space="preserve">It is proposed that the power in </w:t>
      </w:r>
      <w:r w:rsidR="00EA1488">
        <w:t xml:space="preserve">s31 of the Local Government Act 2003 </w:t>
      </w:r>
      <w:r w:rsidR="00BE42CA">
        <w:t xml:space="preserve">is used </w:t>
      </w:r>
      <w:r w:rsidR="00EA1488">
        <w:t xml:space="preserve">to pay PSDS funding to successful local authority applicants. Section 31 </w:t>
      </w:r>
      <w:r w:rsidR="00BE42CA">
        <w:t xml:space="preserve">provides that </w:t>
      </w:r>
      <w:r w:rsidR="00F20AB0">
        <w:t xml:space="preserve">a minister </w:t>
      </w:r>
      <w:r w:rsidR="00E027E7">
        <w:t xml:space="preserve">can </w:t>
      </w:r>
      <w:r w:rsidR="009F1567">
        <w:t xml:space="preserve">pay a grant to a local authority towards expenditure incurred or </w:t>
      </w:r>
      <w:r w:rsidR="009F1567" w:rsidRPr="004253FD">
        <w:rPr>
          <w:i/>
          <w:iCs/>
        </w:rPr>
        <w:t>to be incurred</w:t>
      </w:r>
      <w:r w:rsidR="009F1567">
        <w:t xml:space="preserve"> by it</w:t>
      </w:r>
      <w:r w:rsidR="00BE42CA">
        <w:t xml:space="preserve">, on </w:t>
      </w:r>
      <w:r w:rsidR="00A47E59">
        <w:t xml:space="preserve">terms </w:t>
      </w:r>
      <w:r w:rsidR="00E027E7">
        <w:t xml:space="preserve">and </w:t>
      </w:r>
      <w:r w:rsidR="00BE42CA">
        <w:t>con</w:t>
      </w:r>
      <w:r w:rsidR="00A47E59">
        <w:t>d</w:t>
      </w:r>
      <w:r w:rsidR="00BE42CA">
        <w:t>itions</w:t>
      </w:r>
      <w:r w:rsidR="00E37485">
        <w:t xml:space="preserve"> that the minister so specifies. </w:t>
      </w:r>
      <w:r w:rsidR="00BE42CA">
        <w:t xml:space="preserve"> </w:t>
      </w:r>
      <w:r w:rsidR="004253FD">
        <w:t xml:space="preserve"> </w:t>
      </w:r>
    </w:p>
    <w:p w14:paraId="2AE7CB04" w14:textId="77777777" w:rsidR="003820B7" w:rsidRDefault="003820B7" w:rsidP="00A47E59">
      <w:pPr>
        <w:ind w:left="720" w:hanging="720"/>
      </w:pPr>
    </w:p>
    <w:p w14:paraId="30C504D9" w14:textId="1B160D78" w:rsidR="00A71F05" w:rsidRPr="00492DF6" w:rsidRDefault="00A71F05" w:rsidP="00575242">
      <w:pPr>
        <w:pStyle w:val="Heading3"/>
        <w:rPr>
          <w:sz w:val="24"/>
          <w:szCs w:val="24"/>
        </w:rPr>
      </w:pPr>
      <w:r w:rsidRPr="00492DF6">
        <w:rPr>
          <w:sz w:val="24"/>
          <w:szCs w:val="24"/>
        </w:rPr>
        <w:t>Financial Implications</w:t>
      </w:r>
    </w:p>
    <w:p w14:paraId="25076105" w14:textId="7759F390" w:rsidR="005214FC" w:rsidRDefault="00E37485" w:rsidP="00E37485">
      <w:pPr>
        <w:ind w:left="720" w:hanging="720"/>
      </w:pPr>
      <w:r>
        <w:t>3.7</w:t>
      </w:r>
      <w:r>
        <w:tab/>
      </w:r>
      <w:r w:rsidR="00A5414E">
        <w:t xml:space="preserve">The total estimated value of the works </w:t>
      </w:r>
      <w:r w:rsidR="0074186B">
        <w:t>comprised in the Council’s appl</w:t>
      </w:r>
      <w:r w:rsidR="003A3B9B">
        <w:t>i</w:t>
      </w:r>
      <w:r w:rsidR="0074186B">
        <w:t xml:space="preserve">cations to the PSDS is </w:t>
      </w:r>
      <w:r w:rsidR="006025D7">
        <w:t>£</w:t>
      </w:r>
      <w:r w:rsidR="006025D7" w:rsidRPr="006025D7">
        <w:t>3,895,312</w:t>
      </w:r>
      <w:r w:rsidR="00EA3817">
        <w:t xml:space="preserve"> (see Appendix). However, as the PSDS is oversubscribed </w:t>
      </w:r>
      <w:r w:rsidR="00A0487D">
        <w:t xml:space="preserve">the council is very unlikely to receive grant funding for </w:t>
      </w:r>
      <w:proofErr w:type="gramStart"/>
      <w:r w:rsidR="00A0487D">
        <w:t xml:space="preserve">all </w:t>
      </w:r>
      <w:r w:rsidR="00EA3817">
        <w:t>of</w:t>
      </w:r>
      <w:proofErr w:type="gramEnd"/>
      <w:r w:rsidR="00EA3817">
        <w:t xml:space="preserve"> its applications. At present indications from Salix are that Application 2, for </w:t>
      </w:r>
      <w:r w:rsidR="00D61B0D">
        <w:t>£</w:t>
      </w:r>
      <w:r w:rsidR="000D6A16" w:rsidRPr="000D6A16">
        <w:t>1,413,075</w:t>
      </w:r>
      <w:r w:rsidR="00D61B0D">
        <w:t xml:space="preserve"> is in scope for funding with further </w:t>
      </w:r>
      <w:r w:rsidR="0081011A">
        <w:t>applications</w:t>
      </w:r>
      <w:r w:rsidR="00D61B0D">
        <w:t xml:space="preserve"> </w:t>
      </w:r>
      <w:r w:rsidR="005214FC">
        <w:t xml:space="preserve">potentially </w:t>
      </w:r>
      <w:r w:rsidR="00C65E73">
        <w:t xml:space="preserve">considered if </w:t>
      </w:r>
      <w:r w:rsidR="0081011A">
        <w:t xml:space="preserve">available </w:t>
      </w:r>
      <w:r w:rsidR="005214FC">
        <w:t xml:space="preserve">funding is not taken up by other applicants. </w:t>
      </w:r>
    </w:p>
    <w:p w14:paraId="5551FDF0" w14:textId="77777777" w:rsidR="005214FC" w:rsidRDefault="005214FC" w:rsidP="00E37485">
      <w:pPr>
        <w:ind w:left="720" w:hanging="720"/>
      </w:pPr>
    </w:p>
    <w:p w14:paraId="6DC6FCB8" w14:textId="038D976B" w:rsidR="00EE2CA1" w:rsidRDefault="00630DCB" w:rsidP="00EE2CA1">
      <w:pPr>
        <w:ind w:left="720" w:hanging="720"/>
      </w:pPr>
      <w:r>
        <w:t>3.8</w:t>
      </w:r>
      <w:r>
        <w:tab/>
      </w:r>
      <w:r w:rsidR="00DF27BC">
        <w:t>All a</w:t>
      </w:r>
      <w:r w:rsidR="0074186B">
        <w:t xml:space="preserve">pplications </w:t>
      </w:r>
      <w:r w:rsidR="00EE2CA1" w:rsidRPr="00EE2CA1">
        <w:t xml:space="preserve">have been submitted on a 100% grant funded basis and it is not envisaged that, if successful, they will require any additional capital contributions from the council </w:t>
      </w:r>
      <w:r w:rsidR="00EE2CA1">
        <w:t xml:space="preserve">in order </w:t>
      </w:r>
      <w:r w:rsidR="00EE2CA1" w:rsidRPr="00EE2CA1">
        <w:t>to ensure delivery.</w:t>
      </w:r>
    </w:p>
    <w:p w14:paraId="69F69D30" w14:textId="34F938EB" w:rsidR="00697A88" w:rsidRDefault="00697A88" w:rsidP="00EE2CA1">
      <w:pPr>
        <w:ind w:left="720" w:hanging="720"/>
      </w:pPr>
    </w:p>
    <w:p w14:paraId="58095A39" w14:textId="12221F25" w:rsidR="00697A88" w:rsidRPr="00EE2CA1" w:rsidRDefault="00697A88" w:rsidP="00DE3752">
      <w:pPr>
        <w:ind w:left="720" w:hanging="720"/>
      </w:pPr>
      <w:r>
        <w:t>3.9</w:t>
      </w:r>
      <w:r>
        <w:tab/>
      </w:r>
      <w:r w:rsidRPr="00C75B39">
        <w:t xml:space="preserve">Any grant funding received will need to be included in the capital programme. </w:t>
      </w:r>
      <w:r w:rsidR="00EA6DB9" w:rsidRPr="00C75B39">
        <w:t xml:space="preserve">In year amendments to the capital programme </w:t>
      </w:r>
      <w:r w:rsidR="00DE3752" w:rsidRPr="00C75B39">
        <w:t xml:space="preserve">for specific projects up to £5 million </w:t>
      </w:r>
      <w:r w:rsidR="00EA6DB9" w:rsidRPr="00C75B39">
        <w:t>are permitted under Financial Regulation B</w:t>
      </w:r>
      <w:r w:rsidR="00160496" w:rsidRPr="00C75B39">
        <w:t xml:space="preserve">48 </w:t>
      </w:r>
      <w:r w:rsidR="00D34545" w:rsidRPr="00C75B39">
        <w:t xml:space="preserve">where </w:t>
      </w:r>
      <w:r w:rsidR="00DE3752" w:rsidRPr="00C75B39">
        <w:t>the expenditure is wholly covered by additional external sources</w:t>
      </w:r>
      <w:r w:rsidR="00024A02" w:rsidRPr="00C75B39">
        <w:t xml:space="preserve">, is consistent with existing priorities and </w:t>
      </w:r>
      <w:proofErr w:type="gramStart"/>
      <w:r w:rsidR="00C75B39" w:rsidRPr="00C75B39">
        <w:t>provided that</w:t>
      </w:r>
      <w:proofErr w:type="gramEnd"/>
      <w:r w:rsidR="00C75B39" w:rsidRPr="00C75B39">
        <w:t xml:space="preserve"> </w:t>
      </w:r>
      <w:r w:rsidR="00DE3752" w:rsidRPr="00C75B39">
        <w:t>there are no full year revenue budget effects</w:t>
      </w:r>
      <w:r w:rsidR="00024A02" w:rsidRPr="00C75B39">
        <w:t>.</w:t>
      </w:r>
    </w:p>
    <w:p w14:paraId="49041806" w14:textId="05DA16E2" w:rsidR="00A5414E" w:rsidRDefault="00A5414E" w:rsidP="00E37485">
      <w:pPr>
        <w:ind w:left="720" w:hanging="720"/>
      </w:pPr>
    </w:p>
    <w:p w14:paraId="3D6434B8" w14:textId="2AAE295A" w:rsidR="00A1507D" w:rsidRPr="00492DF6" w:rsidRDefault="00A1507D" w:rsidP="00575242">
      <w:pPr>
        <w:pStyle w:val="Heading3"/>
        <w:rPr>
          <w:sz w:val="24"/>
          <w:szCs w:val="24"/>
        </w:rPr>
      </w:pPr>
      <w:r w:rsidRPr="00492DF6">
        <w:rPr>
          <w:sz w:val="24"/>
          <w:szCs w:val="24"/>
        </w:rPr>
        <w:t>Equalities implications / Public Sector Equality Duty</w:t>
      </w:r>
    </w:p>
    <w:p w14:paraId="76752919" w14:textId="07B6A842" w:rsidR="00EE2CA1" w:rsidRDefault="00EE2CA1" w:rsidP="00EE2CA1"/>
    <w:p w14:paraId="54A2E039" w14:textId="4291DA64" w:rsidR="006749B0" w:rsidRPr="006749B0" w:rsidRDefault="00EE2CA1" w:rsidP="00EE2CA1">
      <w:pPr>
        <w:ind w:left="720" w:hanging="720"/>
      </w:pPr>
      <w:r>
        <w:t>3.9</w:t>
      </w:r>
      <w:r>
        <w:tab/>
      </w:r>
      <w:r w:rsidR="00DA2C6F">
        <w:t xml:space="preserve">It is not </w:t>
      </w:r>
      <w:r w:rsidR="00492DF6">
        <w:t xml:space="preserve">considered </w:t>
      </w:r>
      <w:r w:rsidR="00DA2C6F">
        <w:t xml:space="preserve">that the acceptance of funding and the carrying out of energy works to </w:t>
      </w:r>
      <w:r w:rsidR="00C57FF4">
        <w:t xml:space="preserve">public buildings </w:t>
      </w:r>
      <w:r w:rsidR="00112682">
        <w:t xml:space="preserve">to improve their efficiency </w:t>
      </w:r>
      <w:r w:rsidR="00C57FF4">
        <w:t xml:space="preserve">will have any adverse impact upon persons with protected characteristics. </w:t>
      </w:r>
    </w:p>
    <w:p w14:paraId="74E064DF" w14:textId="1DB26E8B" w:rsidR="00A1507D" w:rsidRDefault="00C57FF4" w:rsidP="00A1507D">
      <w:pPr>
        <w:rPr>
          <w:i/>
          <w:iCs/>
          <w:color w:val="0000FF"/>
        </w:rPr>
      </w:pPr>
      <w:r>
        <w:rPr>
          <w:i/>
          <w:iCs/>
          <w:color w:val="0000FF"/>
        </w:rPr>
        <w:t xml:space="preserve"> </w:t>
      </w:r>
    </w:p>
    <w:p w14:paraId="5F8AA85C" w14:textId="77777777" w:rsidR="001860D7" w:rsidRPr="00492DF6" w:rsidRDefault="00473049" w:rsidP="00575242">
      <w:pPr>
        <w:pStyle w:val="Heading3"/>
        <w:rPr>
          <w:sz w:val="24"/>
          <w:szCs w:val="24"/>
        </w:rPr>
      </w:pPr>
      <w:r w:rsidRPr="00492DF6">
        <w:rPr>
          <w:sz w:val="24"/>
          <w:szCs w:val="24"/>
        </w:rPr>
        <w:t xml:space="preserve">Council </w:t>
      </w:r>
      <w:r w:rsidR="001860D7" w:rsidRPr="00492DF6">
        <w:rPr>
          <w:sz w:val="24"/>
          <w:szCs w:val="24"/>
        </w:rPr>
        <w:t>Priorities</w:t>
      </w:r>
    </w:p>
    <w:p w14:paraId="745050D4" w14:textId="1F654D34" w:rsidR="009A2247" w:rsidRPr="002B03B0" w:rsidRDefault="00492DF6" w:rsidP="00492DF6">
      <w:pPr>
        <w:ind w:left="720" w:hanging="720"/>
      </w:pPr>
      <w:r>
        <w:rPr>
          <w:rFonts w:cs="Arial"/>
          <w:szCs w:val="24"/>
          <w:lang w:val="en-US"/>
        </w:rPr>
        <w:t>3.10</w:t>
      </w:r>
      <w:r>
        <w:rPr>
          <w:rFonts w:cs="Arial"/>
          <w:szCs w:val="24"/>
          <w:lang w:val="en-US"/>
        </w:rPr>
        <w:tab/>
      </w:r>
      <w:r w:rsidR="008D0BA8" w:rsidRPr="002B03B0">
        <w:rPr>
          <w:rFonts w:cs="Arial"/>
          <w:szCs w:val="24"/>
          <w:lang w:val="en-US"/>
        </w:rPr>
        <w:t xml:space="preserve">By making available a funding stream to carry out </w:t>
      </w:r>
      <w:proofErr w:type="spellStart"/>
      <w:r w:rsidR="002B03B0" w:rsidRPr="002B03B0">
        <w:rPr>
          <w:rFonts w:cs="Arial"/>
          <w:szCs w:val="24"/>
          <w:lang w:val="en-US"/>
        </w:rPr>
        <w:t>decarbonisation</w:t>
      </w:r>
      <w:proofErr w:type="spellEnd"/>
      <w:r w:rsidR="000B4CF4" w:rsidRPr="002B03B0">
        <w:rPr>
          <w:rFonts w:cs="Arial"/>
          <w:szCs w:val="24"/>
          <w:lang w:val="en-US"/>
        </w:rPr>
        <w:t xml:space="preserve"> works to its estate, t</w:t>
      </w:r>
      <w:r w:rsidR="00C57FF4" w:rsidRPr="002B03B0">
        <w:rPr>
          <w:rFonts w:cs="Arial"/>
          <w:szCs w:val="24"/>
          <w:lang w:val="en-US"/>
        </w:rPr>
        <w:t>his decision</w:t>
      </w:r>
      <w:r w:rsidR="008D0BA8" w:rsidRPr="002B03B0">
        <w:rPr>
          <w:rFonts w:cs="Arial"/>
          <w:szCs w:val="24"/>
          <w:lang w:val="en-US"/>
        </w:rPr>
        <w:t xml:space="preserve"> directly </w:t>
      </w:r>
      <w:r w:rsidR="002B03B0" w:rsidRPr="002B03B0">
        <w:rPr>
          <w:rFonts w:cs="Arial"/>
          <w:szCs w:val="24"/>
          <w:lang w:val="en-US"/>
        </w:rPr>
        <w:t xml:space="preserve">furthers </w:t>
      </w:r>
      <w:r w:rsidR="008D0BA8" w:rsidRPr="002B03B0">
        <w:rPr>
          <w:rFonts w:cs="Arial"/>
          <w:szCs w:val="24"/>
          <w:lang w:val="en-US"/>
        </w:rPr>
        <w:t xml:space="preserve">the Council’s </w:t>
      </w:r>
      <w:r w:rsidR="000B4CF4" w:rsidRPr="002B03B0">
        <w:rPr>
          <w:rFonts w:cs="Arial"/>
          <w:szCs w:val="24"/>
          <w:lang w:val="en-US"/>
        </w:rPr>
        <w:t xml:space="preserve">priority to </w:t>
      </w:r>
      <w:r w:rsidR="002B1D75" w:rsidRPr="002B03B0">
        <w:rPr>
          <w:rFonts w:cs="Arial"/>
          <w:szCs w:val="24"/>
          <w:lang w:val="en-US"/>
        </w:rPr>
        <w:t>‘</w:t>
      </w:r>
      <w:r w:rsidR="009A2247" w:rsidRPr="002B03B0">
        <w:t>Improv</w:t>
      </w:r>
      <w:r w:rsidR="002B03B0" w:rsidRPr="002B03B0">
        <w:t>e</w:t>
      </w:r>
      <w:r w:rsidR="009A2247" w:rsidRPr="002B03B0">
        <w:t xml:space="preserve"> the environment and address climate change</w:t>
      </w:r>
      <w:r w:rsidR="002B1D75" w:rsidRPr="002B03B0">
        <w:t xml:space="preserve">’. </w:t>
      </w:r>
    </w:p>
    <w:p w14:paraId="4839BF44" w14:textId="77777777" w:rsidR="00A71F05" w:rsidRDefault="00A71F05" w:rsidP="00575242">
      <w:pPr>
        <w:pStyle w:val="Heading2"/>
      </w:pPr>
      <w:bookmarkStart w:id="0" w:name="_Hlk63864018"/>
      <w:r>
        <w:lastRenderedPageBreak/>
        <w:t>Section 3 - Statutory Officer Clearance</w:t>
      </w:r>
    </w:p>
    <w:p w14:paraId="33DDDB9F" w14:textId="0CAC479F" w:rsidR="00575242" w:rsidRPr="00A66326" w:rsidRDefault="00575242" w:rsidP="00575242">
      <w:pPr>
        <w:spacing w:before="240"/>
        <w:rPr>
          <w:sz w:val="28"/>
        </w:rPr>
      </w:pPr>
      <w:r w:rsidRPr="00A66326">
        <w:rPr>
          <w:b/>
          <w:sz w:val="28"/>
        </w:rPr>
        <w:t xml:space="preserve">Statutory Officer:  </w:t>
      </w:r>
      <w:r w:rsidR="003820B7">
        <w:rPr>
          <w:b/>
          <w:sz w:val="28"/>
        </w:rPr>
        <w:t>Dawn Calvert</w:t>
      </w:r>
    </w:p>
    <w:p w14:paraId="4FD70AB5" w14:textId="7145CD3D" w:rsidR="00575242" w:rsidRPr="002548D1" w:rsidRDefault="00B05A02" w:rsidP="00B05A02">
      <w:pPr>
        <w:rPr>
          <w:rFonts w:cs="Arial"/>
          <w:color w:val="FF0000"/>
        </w:rPr>
      </w:pPr>
      <w:r>
        <w:t xml:space="preserve">Cleared </w:t>
      </w:r>
      <w:r w:rsidR="00575242" w:rsidRPr="00A66326">
        <w:t>by the Chief Financial Officer</w:t>
      </w:r>
    </w:p>
    <w:p w14:paraId="07C29501" w14:textId="77777777" w:rsidR="00575242" w:rsidRPr="00A66326" w:rsidRDefault="00575242" w:rsidP="00575242">
      <w:pPr>
        <w:rPr>
          <w:sz w:val="28"/>
        </w:rPr>
      </w:pPr>
    </w:p>
    <w:p w14:paraId="4EDAF345" w14:textId="6ABA9966" w:rsidR="00575242" w:rsidRPr="00A66326" w:rsidRDefault="00575242" w:rsidP="00575242">
      <w:pPr>
        <w:spacing w:after="480"/>
        <w:rPr>
          <w:sz w:val="28"/>
        </w:rPr>
      </w:pPr>
      <w:r w:rsidRPr="00A66326">
        <w:rPr>
          <w:b/>
          <w:sz w:val="28"/>
        </w:rPr>
        <w:t xml:space="preserve">Date:  </w:t>
      </w:r>
      <w:r w:rsidR="00B05A02">
        <w:rPr>
          <w:b/>
          <w:sz w:val="28"/>
        </w:rPr>
        <w:t>10</w:t>
      </w:r>
      <w:r w:rsidR="00B05A02" w:rsidRPr="00B05A02">
        <w:rPr>
          <w:b/>
          <w:sz w:val="28"/>
          <w:vertAlign w:val="superscript"/>
        </w:rPr>
        <w:t>th</w:t>
      </w:r>
      <w:r w:rsidR="00B05A02">
        <w:rPr>
          <w:b/>
          <w:sz w:val="28"/>
        </w:rPr>
        <w:t xml:space="preserve"> February 2021</w:t>
      </w:r>
    </w:p>
    <w:p w14:paraId="40B388D7" w14:textId="5D52AE32" w:rsidR="00575242" w:rsidRPr="00A66326" w:rsidRDefault="00575242" w:rsidP="00575242">
      <w:pPr>
        <w:rPr>
          <w:sz w:val="28"/>
        </w:rPr>
      </w:pPr>
      <w:r w:rsidRPr="00A66326">
        <w:rPr>
          <w:b/>
          <w:sz w:val="28"/>
        </w:rPr>
        <w:t xml:space="preserve">Statutory Officer:  </w:t>
      </w:r>
      <w:r w:rsidR="003820B7">
        <w:rPr>
          <w:b/>
          <w:sz w:val="28"/>
        </w:rPr>
        <w:t>Hugh Peart</w:t>
      </w:r>
    </w:p>
    <w:p w14:paraId="429573BA" w14:textId="7FD35ED2" w:rsidR="00575242" w:rsidRPr="00A66326" w:rsidRDefault="00B05A02" w:rsidP="00575242">
      <w:r>
        <w:t xml:space="preserve">Cleared </w:t>
      </w:r>
      <w:r w:rsidR="00575242" w:rsidRPr="00A66326">
        <w:t>by the Monitoring Officer</w:t>
      </w:r>
    </w:p>
    <w:p w14:paraId="6CF2A0F4" w14:textId="77777777" w:rsidR="00575242" w:rsidRPr="00A66326" w:rsidRDefault="00575242" w:rsidP="00575242">
      <w:pPr>
        <w:rPr>
          <w:sz w:val="28"/>
        </w:rPr>
      </w:pPr>
    </w:p>
    <w:p w14:paraId="3315ACA6" w14:textId="4B7631E4" w:rsidR="00575242" w:rsidRPr="003313EA" w:rsidRDefault="00575242" w:rsidP="00575242">
      <w:pPr>
        <w:spacing w:after="480"/>
        <w:rPr>
          <w:sz w:val="28"/>
        </w:rPr>
      </w:pPr>
      <w:r w:rsidRPr="00A66326">
        <w:rPr>
          <w:b/>
          <w:sz w:val="28"/>
        </w:rPr>
        <w:t xml:space="preserve">Date:  </w:t>
      </w:r>
      <w:r w:rsidR="00B05A02">
        <w:rPr>
          <w:b/>
          <w:sz w:val="28"/>
        </w:rPr>
        <w:t>10</w:t>
      </w:r>
      <w:r w:rsidR="00B05A02" w:rsidRPr="00B05A02">
        <w:rPr>
          <w:b/>
          <w:sz w:val="28"/>
          <w:vertAlign w:val="superscript"/>
        </w:rPr>
        <w:t>th</w:t>
      </w:r>
      <w:r w:rsidR="00B05A02">
        <w:rPr>
          <w:b/>
          <w:sz w:val="28"/>
        </w:rPr>
        <w:t xml:space="preserve"> February 2021</w:t>
      </w:r>
    </w:p>
    <w:p w14:paraId="618D2775" w14:textId="77777777" w:rsidR="00575242" w:rsidRPr="007116B1" w:rsidRDefault="00575242" w:rsidP="00575242">
      <w:pPr>
        <w:pStyle w:val="Heading2"/>
        <w:rPr>
          <w:color w:val="FF0000"/>
        </w:rPr>
      </w:pPr>
      <w:r w:rsidRPr="007116B1">
        <w:t>Section 3 - Procurement Officer Clearance</w:t>
      </w:r>
      <w:r>
        <w:rPr>
          <w:color w:val="FF0000"/>
        </w:rPr>
        <w:t xml:space="preserve"> </w:t>
      </w:r>
    </w:p>
    <w:p w14:paraId="7F2F9475" w14:textId="7BA1080F" w:rsidR="00575242" w:rsidRPr="003313EA" w:rsidRDefault="00575242" w:rsidP="00575242">
      <w:pPr>
        <w:rPr>
          <w:sz w:val="28"/>
        </w:rPr>
      </w:pPr>
      <w:r w:rsidRPr="00A66326">
        <w:rPr>
          <w:b/>
          <w:sz w:val="28"/>
        </w:rPr>
        <w:t xml:space="preserve">Statutory Officer:  </w:t>
      </w:r>
      <w:proofErr w:type="spellStart"/>
      <w:r w:rsidR="003820B7">
        <w:rPr>
          <w:b/>
          <w:sz w:val="28"/>
        </w:rPr>
        <w:t>Nimesh</w:t>
      </w:r>
      <w:proofErr w:type="spellEnd"/>
      <w:r w:rsidR="003820B7">
        <w:rPr>
          <w:b/>
          <w:sz w:val="28"/>
        </w:rPr>
        <w:t xml:space="preserve"> Mehta</w:t>
      </w:r>
    </w:p>
    <w:p w14:paraId="5F5F4E5A" w14:textId="705C7F24" w:rsidR="00575242" w:rsidRPr="003313EA" w:rsidRDefault="00B05A02" w:rsidP="00575242">
      <w:r>
        <w:t xml:space="preserve">Cleared </w:t>
      </w:r>
      <w:r w:rsidR="00575242" w:rsidRPr="003313EA">
        <w:t>by the Head of Procurement</w:t>
      </w:r>
    </w:p>
    <w:p w14:paraId="51646174" w14:textId="77777777" w:rsidR="00575242" w:rsidRPr="00A66326" w:rsidRDefault="00575242" w:rsidP="00575242">
      <w:pPr>
        <w:rPr>
          <w:sz w:val="28"/>
        </w:rPr>
      </w:pPr>
    </w:p>
    <w:p w14:paraId="12FB717D" w14:textId="11359CF9" w:rsidR="00575242" w:rsidRPr="00A66326" w:rsidRDefault="00575242" w:rsidP="00575242">
      <w:pPr>
        <w:spacing w:after="480"/>
        <w:rPr>
          <w:sz w:val="28"/>
        </w:rPr>
      </w:pPr>
      <w:r w:rsidRPr="00A66326">
        <w:rPr>
          <w:b/>
          <w:sz w:val="28"/>
        </w:rPr>
        <w:t xml:space="preserve">Date:  </w:t>
      </w:r>
      <w:r w:rsidR="00B05A02">
        <w:rPr>
          <w:b/>
          <w:sz w:val="28"/>
        </w:rPr>
        <w:t>9</w:t>
      </w:r>
      <w:r w:rsidR="00B05A02" w:rsidRPr="00B05A02">
        <w:rPr>
          <w:b/>
          <w:sz w:val="28"/>
          <w:vertAlign w:val="superscript"/>
        </w:rPr>
        <w:t>th</w:t>
      </w:r>
      <w:r w:rsidR="00B05A02">
        <w:rPr>
          <w:b/>
          <w:sz w:val="28"/>
        </w:rPr>
        <w:t xml:space="preserve"> February 2021</w:t>
      </w:r>
    </w:p>
    <w:p w14:paraId="533D93CA" w14:textId="77777777" w:rsidR="00575242" w:rsidRPr="007116B1" w:rsidRDefault="00575242" w:rsidP="00575242">
      <w:pPr>
        <w:pStyle w:val="Heading2"/>
        <w:rPr>
          <w:color w:val="FF0000"/>
        </w:rPr>
      </w:pPr>
      <w:r w:rsidRPr="007116B1">
        <w:t xml:space="preserve">Section 3 </w:t>
      </w:r>
      <w:r>
        <w:t>–</w:t>
      </w:r>
      <w:r w:rsidRPr="007116B1">
        <w:t xml:space="preserve"> </w:t>
      </w:r>
      <w:r>
        <w:t xml:space="preserve">Corporate Director </w:t>
      </w:r>
      <w:r w:rsidRPr="007116B1">
        <w:t>Clearance</w:t>
      </w:r>
      <w:r>
        <w:rPr>
          <w:color w:val="FF0000"/>
        </w:rPr>
        <w:t xml:space="preserve"> </w:t>
      </w:r>
    </w:p>
    <w:p w14:paraId="5CAC5C39" w14:textId="1098D185" w:rsidR="00575242" w:rsidRPr="00A66326" w:rsidRDefault="001A7E30" w:rsidP="00575242">
      <w:pPr>
        <w:spacing w:before="240"/>
        <w:rPr>
          <w:sz w:val="28"/>
        </w:rPr>
      </w:pPr>
      <w:r>
        <w:rPr>
          <w:b/>
          <w:sz w:val="28"/>
        </w:rPr>
        <w:t>Chief</w:t>
      </w:r>
      <w:r w:rsidR="00575242" w:rsidRPr="00A66326">
        <w:rPr>
          <w:b/>
          <w:sz w:val="28"/>
        </w:rPr>
        <w:t xml:space="preserve"> Officer:  </w:t>
      </w:r>
      <w:r w:rsidR="003820B7">
        <w:rPr>
          <w:b/>
          <w:sz w:val="28"/>
        </w:rPr>
        <w:t>Paul Walker</w:t>
      </w:r>
    </w:p>
    <w:p w14:paraId="5B5AEFB7" w14:textId="04D8A120" w:rsidR="00575242" w:rsidRPr="00A66326" w:rsidRDefault="00B05A02" w:rsidP="00575242">
      <w:r>
        <w:t xml:space="preserve">Cleared </w:t>
      </w:r>
      <w:r w:rsidR="00575242" w:rsidRPr="00A66326">
        <w:t>by the Corporate Director</w:t>
      </w:r>
      <w:r w:rsidR="00FE2912">
        <w:t>-Community</w:t>
      </w:r>
    </w:p>
    <w:p w14:paraId="4AAB26BB" w14:textId="77777777" w:rsidR="00575242" w:rsidRPr="00A66326" w:rsidRDefault="00575242" w:rsidP="00575242">
      <w:pPr>
        <w:rPr>
          <w:sz w:val="28"/>
        </w:rPr>
      </w:pPr>
    </w:p>
    <w:p w14:paraId="22F9B950" w14:textId="5EEABE56" w:rsidR="00575242" w:rsidRPr="00A66326" w:rsidRDefault="00575242" w:rsidP="00575242">
      <w:pPr>
        <w:spacing w:after="480"/>
        <w:rPr>
          <w:sz w:val="28"/>
        </w:rPr>
      </w:pPr>
      <w:r w:rsidRPr="00A66326">
        <w:rPr>
          <w:b/>
          <w:sz w:val="28"/>
        </w:rPr>
        <w:t xml:space="preserve">Date:  </w:t>
      </w:r>
      <w:r w:rsidR="00B05A02">
        <w:rPr>
          <w:b/>
          <w:sz w:val="28"/>
        </w:rPr>
        <w:t>10</w:t>
      </w:r>
      <w:r w:rsidR="00B05A02" w:rsidRPr="00B05A02">
        <w:rPr>
          <w:b/>
          <w:sz w:val="28"/>
          <w:vertAlign w:val="superscript"/>
        </w:rPr>
        <w:t>th</w:t>
      </w:r>
      <w:r w:rsidR="00B05A02">
        <w:rPr>
          <w:b/>
          <w:sz w:val="28"/>
        </w:rPr>
        <w:t xml:space="preserve"> February 2021</w:t>
      </w:r>
    </w:p>
    <w:bookmarkEnd w:id="0"/>
    <w:p w14:paraId="614702AF" w14:textId="77777777" w:rsidR="00575242" w:rsidRPr="00435B5D" w:rsidRDefault="00575242" w:rsidP="00575242">
      <w:pPr>
        <w:pStyle w:val="Heading2"/>
      </w:pPr>
      <w:r>
        <w:t>Mandatory Checks</w:t>
      </w:r>
    </w:p>
    <w:p w14:paraId="7C3EDE7E" w14:textId="3D1E5DD0" w:rsidR="00575242" w:rsidRPr="001A7E30" w:rsidRDefault="00575242" w:rsidP="00575242">
      <w:pPr>
        <w:pStyle w:val="Heading3"/>
        <w:jc w:val="left"/>
        <w:rPr>
          <w:b w:val="0"/>
          <w:bCs w:val="0"/>
        </w:rPr>
      </w:pPr>
      <w:r w:rsidRPr="003313EA">
        <w:t xml:space="preserve">Ward Councillors </w:t>
      </w:r>
      <w:r>
        <w:t xml:space="preserve">notified:  </w:t>
      </w:r>
      <w:r w:rsidRPr="001A7E30">
        <w:rPr>
          <w:b w:val="0"/>
          <w:bCs w:val="0"/>
        </w:rPr>
        <w:t>NO</w:t>
      </w:r>
      <w:r w:rsidR="001A7E30" w:rsidRPr="001A7E30">
        <w:rPr>
          <w:b w:val="0"/>
          <w:bCs w:val="0"/>
        </w:rPr>
        <w:t xml:space="preserve"> - i</w:t>
      </w:r>
      <w:r w:rsidR="001278AB" w:rsidRPr="001A7E30">
        <w:rPr>
          <w:b w:val="0"/>
          <w:bCs w:val="0"/>
        </w:rPr>
        <w:t xml:space="preserve">f funding is </w:t>
      </w:r>
      <w:r w:rsidR="00B05A02" w:rsidRPr="001A7E30">
        <w:rPr>
          <w:b w:val="0"/>
          <w:bCs w:val="0"/>
        </w:rPr>
        <w:t xml:space="preserve">awarded </w:t>
      </w:r>
      <w:r w:rsidR="00C75B39" w:rsidRPr="001A7E30">
        <w:rPr>
          <w:b w:val="0"/>
          <w:bCs w:val="0"/>
        </w:rPr>
        <w:t xml:space="preserve">local </w:t>
      </w:r>
      <w:r w:rsidR="001278AB" w:rsidRPr="001A7E30">
        <w:rPr>
          <w:b w:val="0"/>
          <w:bCs w:val="0"/>
        </w:rPr>
        <w:t xml:space="preserve">councillors </w:t>
      </w:r>
      <w:r w:rsidR="00AF7999" w:rsidRPr="001A7E30">
        <w:rPr>
          <w:b w:val="0"/>
          <w:bCs w:val="0"/>
        </w:rPr>
        <w:t xml:space="preserve">for </w:t>
      </w:r>
      <w:r w:rsidR="006B4520" w:rsidRPr="001A7E30">
        <w:rPr>
          <w:b w:val="0"/>
          <w:bCs w:val="0"/>
        </w:rPr>
        <w:t xml:space="preserve">sites at which works are to be carried out </w:t>
      </w:r>
      <w:r w:rsidR="001278AB" w:rsidRPr="001A7E30">
        <w:rPr>
          <w:b w:val="0"/>
          <w:bCs w:val="0"/>
        </w:rPr>
        <w:t xml:space="preserve">will be notified. </w:t>
      </w:r>
      <w:r w:rsidRPr="001A7E30">
        <w:rPr>
          <w:b w:val="0"/>
          <w:bCs w:val="0"/>
        </w:rPr>
        <w:t xml:space="preserve"> </w:t>
      </w:r>
    </w:p>
    <w:p w14:paraId="4B976652" w14:textId="5101D24C" w:rsidR="00575242" w:rsidRDefault="00575242" w:rsidP="00575242">
      <w:pPr>
        <w:pStyle w:val="Heading3"/>
      </w:pPr>
      <w:proofErr w:type="spellStart"/>
      <w:r w:rsidRPr="00202D79">
        <w:t>EqIA</w:t>
      </w:r>
      <w:proofErr w:type="spellEnd"/>
      <w:r w:rsidRPr="00202D79">
        <w:t xml:space="preserve"> carried out:</w:t>
      </w:r>
      <w:r>
        <w:t xml:space="preserve">  </w:t>
      </w:r>
      <w:r w:rsidRPr="001A7E30">
        <w:rPr>
          <w:b w:val="0"/>
          <w:bCs w:val="0"/>
        </w:rPr>
        <w:t>NO</w:t>
      </w:r>
    </w:p>
    <w:p w14:paraId="30AA098D" w14:textId="77777777" w:rsidR="00575242" w:rsidRDefault="00575242" w:rsidP="00575242">
      <w:pPr>
        <w:pStyle w:val="Heading2"/>
      </w:pPr>
      <w:r>
        <w:t>Section 4 - Contact Details and Background Papers</w:t>
      </w:r>
    </w:p>
    <w:p w14:paraId="063D4563" w14:textId="3DBEA80D" w:rsidR="00575242" w:rsidRPr="005808FB" w:rsidRDefault="00575242" w:rsidP="00575242">
      <w:pPr>
        <w:pStyle w:val="Infotext"/>
        <w:spacing w:after="240"/>
        <w:rPr>
          <w:color w:val="FF0000"/>
        </w:rPr>
      </w:pPr>
      <w:r w:rsidRPr="004E47FC">
        <w:rPr>
          <w:b/>
        </w:rPr>
        <w:t xml:space="preserve">Contact:  </w:t>
      </w:r>
      <w:r w:rsidR="00D624E5" w:rsidRPr="007A184E">
        <w:rPr>
          <w:color w:val="000000" w:themeColor="text1"/>
        </w:rPr>
        <w:t>Matthew Adams, Head of Natural Resources &amp; Climate Strategy</w:t>
      </w:r>
      <w:r w:rsidR="001112C4" w:rsidRPr="007A184E">
        <w:rPr>
          <w:color w:val="000000" w:themeColor="text1"/>
        </w:rPr>
        <w:t xml:space="preserve"> -  </w:t>
      </w:r>
      <w:hyperlink r:id="rId13" w:history="1">
        <w:r w:rsidR="001112C4" w:rsidRPr="007A184E">
          <w:rPr>
            <w:rStyle w:val="Hyperlink"/>
            <w:color w:val="000000" w:themeColor="text1"/>
          </w:rPr>
          <w:t>matthew.adams@harrow.gov.uk</w:t>
        </w:r>
      </w:hyperlink>
      <w:r w:rsidR="001112C4" w:rsidRPr="007A184E">
        <w:rPr>
          <w:color w:val="000000" w:themeColor="text1"/>
        </w:rPr>
        <w:t xml:space="preserve">; </w:t>
      </w:r>
      <w:r w:rsidR="003820B7">
        <w:rPr>
          <w:color w:val="000000" w:themeColor="text1"/>
        </w:rPr>
        <w:t xml:space="preserve">tel. </w:t>
      </w:r>
      <w:r w:rsidR="007A184E" w:rsidRPr="007A184E">
        <w:rPr>
          <w:color w:val="000000" w:themeColor="text1"/>
        </w:rPr>
        <w:t>07833 048 924</w:t>
      </w:r>
    </w:p>
    <w:p w14:paraId="1F285C8E" w14:textId="77777777" w:rsidR="003820B7" w:rsidRDefault="003820B7" w:rsidP="00575242">
      <w:pPr>
        <w:pStyle w:val="Infotext"/>
        <w:spacing w:after="240"/>
        <w:rPr>
          <w:b/>
        </w:rPr>
      </w:pPr>
    </w:p>
    <w:p w14:paraId="779B8E4D" w14:textId="4E6BF87B" w:rsidR="00575242" w:rsidRDefault="00575242" w:rsidP="00575242">
      <w:pPr>
        <w:pStyle w:val="Infotext"/>
        <w:spacing w:after="240"/>
        <w:rPr>
          <w:b/>
        </w:rPr>
      </w:pPr>
      <w:r w:rsidRPr="004E47FC">
        <w:rPr>
          <w:b/>
        </w:rPr>
        <w:lastRenderedPageBreak/>
        <w:t xml:space="preserve">Background Papers: </w:t>
      </w:r>
      <w:r>
        <w:rPr>
          <w:b/>
        </w:rPr>
        <w:t xml:space="preserve"> </w:t>
      </w:r>
    </w:p>
    <w:bookmarkStart w:id="1" w:name="_Hlk63864195"/>
    <w:p w14:paraId="707B990D" w14:textId="51D2B304" w:rsidR="00EC4F48" w:rsidRDefault="001A7E30" w:rsidP="004E4DDF">
      <w:pPr>
        <w:pStyle w:val="Infotext"/>
        <w:rPr>
          <w:rFonts w:ascii="Calibri" w:hAnsi="Calibri"/>
          <w:szCs w:val="24"/>
          <w:lang w:eastAsia="en-GB"/>
        </w:rPr>
      </w:pPr>
      <w:r>
        <w:rPr>
          <w:rFonts w:ascii="Calibri" w:hAnsi="Calibri"/>
          <w:szCs w:val="24"/>
          <w:lang w:eastAsia="en-GB"/>
        </w:rPr>
        <w:fldChar w:fldCharType="begin"/>
      </w:r>
      <w:r>
        <w:rPr>
          <w:rFonts w:ascii="Calibri" w:hAnsi="Calibri"/>
          <w:szCs w:val="24"/>
          <w:lang w:eastAsia="en-GB"/>
        </w:rPr>
        <w:instrText xml:space="preserve"> HYPERLINK "https://www2.harrow.gov.uk/ieDecisionDetails.aspx?AIId=121172." </w:instrText>
      </w:r>
      <w:r>
        <w:rPr>
          <w:rFonts w:ascii="Calibri" w:hAnsi="Calibri"/>
          <w:szCs w:val="24"/>
          <w:lang w:eastAsia="en-GB"/>
        </w:rPr>
        <w:fldChar w:fldCharType="separate"/>
      </w:r>
      <w:r w:rsidR="00E74CCF" w:rsidRPr="001A7E30">
        <w:rPr>
          <w:rStyle w:val="Hyperlink"/>
          <w:rFonts w:ascii="Calibri" w:hAnsi="Calibri"/>
          <w:szCs w:val="24"/>
          <w:lang w:eastAsia="en-GB"/>
        </w:rPr>
        <w:t>The Climate &amp; Ecological Emergency - Interim Strategy and Action Plan</w:t>
      </w:r>
      <w:r>
        <w:rPr>
          <w:rFonts w:ascii="Calibri" w:hAnsi="Calibri"/>
          <w:szCs w:val="24"/>
          <w:lang w:eastAsia="en-GB"/>
        </w:rPr>
        <w:fldChar w:fldCharType="end"/>
      </w:r>
      <w:r w:rsidR="00EC4F48">
        <w:rPr>
          <w:rFonts w:ascii="Calibri" w:hAnsi="Calibri"/>
          <w:szCs w:val="24"/>
          <w:lang w:eastAsia="en-GB"/>
        </w:rPr>
        <w:t xml:space="preserve"> </w:t>
      </w:r>
      <w:bookmarkEnd w:id="1"/>
    </w:p>
    <w:p w14:paraId="065B72CF" w14:textId="30CE80D2" w:rsidR="004E4DDF" w:rsidRDefault="001A7E30" w:rsidP="004E4DDF">
      <w:pPr>
        <w:pStyle w:val="Infotext"/>
        <w:rPr>
          <w:rFonts w:ascii="Calibri" w:hAnsi="Calibri"/>
          <w:szCs w:val="24"/>
          <w:lang w:eastAsia="en-GB"/>
        </w:rPr>
      </w:pPr>
      <w:r>
        <w:rPr>
          <w:rFonts w:ascii="Calibri" w:hAnsi="Calibri"/>
          <w:szCs w:val="24"/>
          <w:lang w:eastAsia="en-GB"/>
        </w:rPr>
        <w:t>(</w:t>
      </w:r>
      <w:r w:rsidR="00EC4F48">
        <w:rPr>
          <w:rFonts w:ascii="Calibri" w:hAnsi="Calibri"/>
          <w:szCs w:val="24"/>
          <w:lang w:eastAsia="en-GB"/>
        </w:rPr>
        <w:t>Cabinet decision March 2020</w:t>
      </w:r>
      <w:r>
        <w:rPr>
          <w:rFonts w:ascii="Calibri" w:hAnsi="Calibri"/>
          <w:szCs w:val="24"/>
          <w:lang w:eastAsia="en-GB"/>
        </w:rPr>
        <w:t>)</w:t>
      </w:r>
    </w:p>
    <w:p w14:paraId="058BA151" w14:textId="77777777" w:rsidR="004E4DDF" w:rsidRDefault="004E4DDF" w:rsidP="004E4DDF">
      <w:pPr>
        <w:pStyle w:val="Infotext"/>
        <w:rPr>
          <w:rFonts w:ascii="Calibri" w:hAnsi="Calibri"/>
          <w:szCs w:val="24"/>
          <w:lang w:eastAsia="en-GB"/>
        </w:rPr>
      </w:pPr>
    </w:p>
    <w:p w14:paraId="45D1108C" w14:textId="77777777" w:rsidR="00ED16C0" w:rsidRDefault="00ED16C0" w:rsidP="00872E2C">
      <w:pPr>
        <w:pStyle w:val="Heading2"/>
      </w:pPr>
      <w:r>
        <w:t>For Leader</w:t>
      </w:r>
    </w:p>
    <w:p w14:paraId="0074A4B4" w14:textId="77777777" w:rsidR="00872E2C" w:rsidRDefault="00872E2C" w:rsidP="00AD3194">
      <w:pPr>
        <w:rPr>
          <w:rFonts w:cs="Arial"/>
        </w:rPr>
      </w:pPr>
      <w:r>
        <w:rPr>
          <w:rFonts w:cs="Arial"/>
        </w:rPr>
        <w:t>* I do agree to the decision proposed</w:t>
      </w:r>
    </w:p>
    <w:p w14:paraId="15DF38B4" w14:textId="77777777" w:rsidR="00872E2C" w:rsidRDefault="00872E2C" w:rsidP="00872E2C">
      <w:pPr>
        <w:spacing w:before="480"/>
        <w:rPr>
          <w:rFonts w:cs="Arial"/>
        </w:rPr>
      </w:pPr>
      <w:r>
        <w:rPr>
          <w:rFonts w:cs="Arial"/>
        </w:rPr>
        <w:t>* I do not agree to the decision proposed</w:t>
      </w:r>
    </w:p>
    <w:p w14:paraId="2F8F046B" w14:textId="77777777" w:rsidR="00872E2C" w:rsidRPr="00872E2C" w:rsidRDefault="00872E2C" w:rsidP="00872E2C">
      <w:pPr>
        <w:spacing w:before="480"/>
        <w:rPr>
          <w:rFonts w:cs="Arial"/>
          <w:i/>
        </w:rPr>
      </w:pPr>
      <w:r w:rsidRPr="00315EC9">
        <w:rPr>
          <w:rFonts w:cs="Arial"/>
          <w:i/>
        </w:rPr>
        <w:t xml:space="preserve">* Please </w:t>
      </w:r>
      <w:r w:rsidRPr="00872E2C">
        <w:rPr>
          <w:rFonts w:cs="Arial"/>
        </w:rPr>
        <w:t>delete</w:t>
      </w:r>
      <w:r w:rsidRPr="00315EC9">
        <w:rPr>
          <w:rFonts w:cs="Arial"/>
          <w:i/>
        </w:rPr>
        <w:t xml:space="preserve"> as appropriate</w:t>
      </w:r>
    </w:p>
    <w:p w14:paraId="1CA9569A" w14:textId="77777777" w:rsidR="00872E2C" w:rsidRDefault="00872E2C" w:rsidP="00872E2C">
      <w:pPr>
        <w:spacing w:before="480"/>
        <w:rPr>
          <w:rFonts w:cs="Arial"/>
        </w:rPr>
      </w:pPr>
      <w:r w:rsidRPr="00A90B97">
        <w:rPr>
          <w:rFonts w:cs="Arial"/>
        </w:rPr>
        <w:t xml:space="preserve">Notification of </w:t>
      </w:r>
      <w:r>
        <w:rPr>
          <w:rFonts w:cs="Arial"/>
        </w:rPr>
        <w:t xml:space="preserve">disclosable non-pecuniary and </w:t>
      </w:r>
      <w:r w:rsidRPr="00872E2C">
        <w:rPr>
          <w:rFonts w:cs="Arial"/>
          <w:i/>
        </w:rPr>
        <w:t>pecuniary</w:t>
      </w:r>
      <w:r w:rsidRPr="00A90B97">
        <w:rPr>
          <w:rFonts w:cs="Arial"/>
        </w:rPr>
        <w:t xml:space="preserve"> interests (if any):</w:t>
      </w:r>
    </w:p>
    <w:p w14:paraId="276C05FC" w14:textId="77777777" w:rsidR="00872E2C" w:rsidRPr="00A90B97" w:rsidRDefault="00872E2C" w:rsidP="00872E2C">
      <w:pPr>
        <w:spacing w:before="480"/>
        <w:rPr>
          <w:rFonts w:cs="Arial"/>
        </w:rPr>
      </w:pPr>
      <w:r>
        <w:rPr>
          <w:rFonts w:cs="Arial"/>
        </w:rPr>
        <w:t xml:space="preserve">[Should you have a </w:t>
      </w:r>
      <w:r w:rsidRPr="00872E2C">
        <w:rPr>
          <w:rFonts w:cs="Arial"/>
          <w:i/>
        </w:rPr>
        <w:t>disclosable</w:t>
      </w:r>
      <w:r>
        <w:rPr>
          <w:rFonts w:cs="Arial"/>
        </w:rPr>
        <w:t xml:space="preserve"> pecuniary interest, you should not take this decision.]</w:t>
      </w:r>
    </w:p>
    <w:p w14:paraId="762E60EF" w14:textId="77777777" w:rsidR="00872E2C" w:rsidRDefault="00872E2C" w:rsidP="00872E2C">
      <w:pPr>
        <w:tabs>
          <w:tab w:val="left" w:pos="1260"/>
        </w:tabs>
        <w:spacing w:before="240"/>
        <w:rPr>
          <w:rFonts w:cs="Arial"/>
        </w:rPr>
      </w:pPr>
      <w:r>
        <w:rPr>
          <w:rFonts w:cs="Arial"/>
        </w:rPr>
        <w:t>Additional comments made by and/or options considered by the Portfolio Holder</w:t>
      </w:r>
    </w:p>
    <w:p w14:paraId="6C49A4D9" w14:textId="77777777" w:rsidR="00872E2C" w:rsidRDefault="00872E2C" w:rsidP="00872E2C">
      <w:pPr>
        <w:spacing w:before="480"/>
        <w:rPr>
          <w:rFonts w:cs="Arial"/>
        </w:rPr>
      </w:pPr>
      <w:r>
        <w:rPr>
          <w:rFonts w:cs="Arial"/>
        </w:rPr>
        <w:t>Signature:  …………………………………………………………………………</w:t>
      </w:r>
    </w:p>
    <w:p w14:paraId="60461057" w14:textId="77777777" w:rsidR="00872E2C" w:rsidRDefault="00872E2C" w:rsidP="00872E2C">
      <w:pPr>
        <w:tabs>
          <w:tab w:val="left" w:pos="1080"/>
        </w:tabs>
        <w:spacing w:after="240"/>
        <w:rPr>
          <w:rFonts w:cs="Arial"/>
          <w:iCs/>
        </w:rPr>
      </w:pPr>
      <w:r>
        <w:rPr>
          <w:rFonts w:cs="Arial"/>
          <w:iCs/>
        </w:rPr>
        <w:tab/>
        <w:t>Leader</w:t>
      </w:r>
    </w:p>
    <w:p w14:paraId="7AEDCF04" w14:textId="0AEB008D" w:rsidR="00ED16C0" w:rsidRDefault="00872E2C" w:rsidP="00872E2C">
      <w:pPr>
        <w:spacing w:after="480"/>
        <w:rPr>
          <w:rFonts w:cs="Arial"/>
        </w:rPr>
      </w:pPr>
      <w:r>
        <w:rPr>
          <w:rFonts w:cs="Arial"/>
        </w:rPr>
        <w:t>Date:  ……………………………………………………</w:t>
      </w:r>
    </w:p>
    <w:p w14:paraId="102BBE7F" w14:textId="77777777" w:rsidR="00872E2C" w:rsidRPr="007C0DC3" w:rsidRDefault="00872E2C" w:rsidP="00872E2C">
      <w:pPr>
        <w:pStyle w:val="Infotext"/>
        <w:spacing w:before="480"/>
        <w:rPr>
          <w:rFonts w:ascii="Arial Black" w:hAnsi="Arial Black"/>
        </w:rPr>
      </w:pPr>
      <w:r>
        <w:rPr>
          <w:rFonts w:ascii="Arial Black" w:hAnsi="Arial Black"/>
        </w:rPr>
        <w:t>Call-in w</w:t>
      </w:r>
      <w:r w:rsidRPr="007C0DC3">
        <w:rPr>
          <w:rFonts w:ascii="Arial Black" w:hAnsi="Arial Black"/>
        </w:rPr>
        <w:t>aived by the Chair of Overview and Scrutiny Committee</w:t>
      </w:r>
    </w:p>
    <w:p w14:paraId="6DB1D72F" w14:textId="2A9F69E7" w:rsidR="00872E2C" w:rsidRDefault="003820B7" w:rsidP="00872E2C">
      <w:pPr>
        <w:pStyle w:val="Infotext"/>
        <w:spacing w:before="240"/>
      </w:pPr>
      <w:r>
        <w:rPr>
          <w:b/>
        </w:rPr>
        <w:t xml:space="preserve">YES -  </w:t>
      </w:r>
      <w:r w:rsidRPr="00574229">
        <w:rPr>
          <w:rFonts w:cs="Arial"/>
          <w:szCs w:val="24"/>
        </w:rPr>
        <w:t>The decision is urgent</w:t>
      </w:r>
      <w:r w:rsidRPr="00574229">
        <w:rPr>
          <w:b/>
        </w:rPr>
        <w:t xml:space="preserve"> i</w:t>
      </w:r>
      <w:r w:rsidRPr="00574229">
        <w:rPr>
          <w:rFonts w:cs="Arial"/>
          <w:szCs w:val="24"/>
        </w:rPr>
        <w:t>n order to provide confirmation to Salix Finance, the Scheme administrators, by the government’s deadline of 20</w:t>
      </w:r>
      <w:r w:rsidRPr="00574229">
        <w:rPr>
          <w:rFonts w:cs="Arial"/>
          <w:szCs w:val="24"/>
          <w:vertAlign w:val="superscript"/>
        </w:rPr>
        <w:t xml:space="preserve">th </w:t>
      </w:r>
      <w:r w:rsidRPr="00574229">
        <w:rPr>
          <w:rFonts w:cs="Arial"/>
          <w:szCs w:val="24"/>
        </w:rPr>
        <w:t>February 2021 that the Council is prepared to accept any awarded grant funding, such funding to be paid in advance prior to the 20/21 financial year end for delivery of works in the next financial year.</w:t>
      </w:r>
    </w:p>
    <w:p w14:paraId="58DE08E4" w14:textId="5907E985" w:rsidR="002F2628" w:rsidRDefault="002F2628" w:rsidP="00872E2C">
      <w:pPr>
        <w:pStyle w:val="Infotext"/>
        <w:tabs>
          <w:tab w:val="left" w:pos="3768"/>
          <w:tab w:val="left" w:pos="4315"/>
        </w:tabs>
        <w:rPr>
          <w:rFonts w:cs="Arial"/>
          <w:i/>
          <w:color w:val="FF0000"/>
          <w:sz w:val="24"/>
          <w:szCs w:val="24"/>
          <w:lang w:eastAsia="en-GB"/>
        </w:rPr>
      </w:pPr>
    </w:p>
    <w:p w14:paraId="1F96733A" w14:textId="69CF3EBA" w:rsidR="002F2628" w:rsidRDefault="002F2628" w:rsidP="00872E2C">
      <w:pPr>
        <w:pStyle w:val="Infotext"/>
        <w:tabs>
          <w:tab w:val="left" w:pos="3768"/>
          <w:tab w:val="left" w:pos="4315"/>
        </w:tabs>
        <w:rPr>
          <w:rFonts w:cs="Arial"/>
          <w:i/>
          <w:color w:val="FF0000"/>
          <w:sz w:val="24"/>
          <w:szCs w:val="24"/>
          <w:lang w:eastAsia="en-GB"/>
        </w:rPr>
      </w:pPr>
    </w:p>
    <w:p w14:paraId="4EA64A6C" w14:textId="5C81FDCE" w:rsidR="002F2628" w:rsidRDefault="002F2628">
      <w:pPr>
        <w:rPr>
          <w:rFonts w:cs="Arial"/>
          <w:i/>
          <w:color w:val="FF0000"/>
          <w:szCs w:val="24"/>
          <w:lang w:eastAsia="en-GB"/>
        </w:rPr>
      </w:pPr>
      <w:r>
        <w:rPr>
          <w:rFonts w:cs="Arial"/>
          <w:i/>
          <w:color w:val="FF0000"/>
          <w:szCs w:val="24"/>
          <w:lang w:eastAsia="en-GB"/>
        </w:rPr>
        <w:br w:type="page"/>
      </w:r>
      <w:bookmarkStart w:id="2" w:name="_GoBack"/>
      <w:bookmarkEnd w:id="2"/>
    </w:p>
    <w:p w14:paraId="27AE4143" w14:textId="44407FEA" w:rsidR="00F60301" w:rsidRPr="00DF0C00" w:rsidRDefault="00F60301" w:rsidP="00F60301">
      <w:pPr>
        <w:pStyle w:val="Infotext"/>
        <w:tabs>
          <w:tab w:val="left" w:pos="3768"/>
          <w:tab w:val="left" w:pos="4315"/>
        </w:tabs>
        <w:jc w:val="center"/>
        <w:rPr>
          <w:rFonts w:cs="Arial"/>
          <w:b/>
          <w:bCs/>
          <w:iCs/>
          <w:sz w:val="24"/>
          <w:szCs w:val="24"/>
          <w:lang w:eastAsia="en-GB"/>
        </w:rPr>
      </w:pPr>
      <w:r w:rsidRPr="00DF0C00">
        <w:rPr>
          <w:rFonts w:cs="Arial"/>
          <w:b/>
          <w:bCs/>
          <w:iCs/>
          <w:sz w:val="24"/>
          <w:szCs w:val="24"/>
          <w:lang w:eastAsia="en-GB"/>
        </w:rPr>
        <w:lastRenderedPageBreak/>
        <w:t>APPENDIX</w:t>
      </w:r>
    </w:p>
    <w:p w14:paraId="797814AA" w14:textId="77777777" w:rsidR="00F60301" w:rsidRPr="00DF0C00" w:rsidRDefault="00F60301" w:rsidP="00F60301">
      <w:pPr>
        <w:pStyle w:val="Infotext"/>
        <w:tabs>
          <w:tab w:val="left" w:pos="3768"/>
          <w:tab w:val="left" w:pos="4315"/>
        </w:tabs>
        <w:jc w:val="center"/>
        <w:rPr>
          <w:rFonts w:cs="Arial"/>
          <w:b/>
          <w:bCs/>
          <w:iCs/>
          <w:sz w:val="24"/>
          <w:szCs w:val="24"/>
          <w:lang w:eastAsia="en-GB"/>
        </w:rPr>
      </w:pPr>
    </w:p>
    <w:p w14:paraId="61FCE453" w14:textId="77777777" w:rsidR="00F60301" w:rsidRPr="00DF0C00" w:rsidRDefault="00F60301" w:rsidP="00F60301">
      <w:pPr>
        <w:pStyle w:val="Infotext"/>
        <w:tabs>
          <w:tab w:val="left" w:pos="3768"/>
          <w:tab w:val="left" w:pos="4315"/>
        </w:tabs>
        <w:jc w:val="center"/>
        <w:rPr>
          <w:rFonts w:cs="Arial"/>
          <w:b/>
          <w:bCs/>
          <w:iCs/>
          <w:sz w:val="24"/>
          <w:szCs w:val="24"/>
          <w:lang w:eastAsia="en-GB"/>
        </w:rPr>
      </w:pPr>
      <w:r w:rsidRPr="00DF0C00">
        <w:rPr>
          <w:rFonts w:cs="Arial"/>
          <w:b/>
          <w:bCs/>
          <w:iCs/>
          <w:sz w:val="24"/>
          <w:szCs w:val="24"/>
          <w:lang w:eastAsia="en-GB"/>
        </w:rPr>
        <w:t xml:space="preserve">Harrow Council Applications to the </w:t>
      </w:r>
    </w:p>
    <w:p w14:paraId="01F2A93F" w14:textId="3DD03B97" w:rsidR="002F2628" w:rsidRPr="00DF0C00" w:rsidRDefault="00F60301" w:rsidP="00F60301">
      <w:pPr>
        <w:pStyle w:val="Infotext"/>
        <w:tabs>
          <w:tab w:val="left" w:pos="3768"/>
          <w:tab w:val="left" w:pos="4315"/>
        </w:tabs>
        <w:jc w:val="center"/>
        <w:rPr>
          <w:rFonts w:cs="Arial"/>
          <w:b/>
          <w:bCs/>
          <w:iCs/>
          <w:sz w:val="24"/>
          <w:szCs w:val="24"/>
          <w:lang w:eastAsia="en-GB"/>
        </w:rPr>
      </w:pPr>
      <w:r w:rsidRPr="00DF0C00">
        <w:rPr>
          <w:rFonts w:cs="Arial"/>
          <w:b/>
          <w:bCs/>
          <w:iCs/>
          <w:sz w:val="24"/>
          <w:szCs w:val="24"/>
          <w:lang w:eastAsia="en-GB"/>
        </w:rPr>
        <w:t>Public Sector Decarbonisation Scheme</w:t>
      </w:r>
    </w:p>
    <w:p w14:paraId="59C601A7" w14:textId="35369F46" w:rsidR="00F60301" w:rsidRPr="00DF0C00" w:rsidRDefault="00F60301" w:rsidP="00F60301">
      <w:pPr>
        <w:pStyle w:val="Infotext"/>
        <w:tabs>
          <w:tab w:val="left" w:pos="3768"/>
          <w:tab w:val="left" w:pos="4315"/>
        </w:tabs>
        <w:rPr>
          <w:rFonts w:cs="Arial"/>
          <w:b/>
          <w:bCs/>
          <w:iCs/>
          <w:sz w:val="24"/>
          <w:szCs w:val="24"/>
          <w:lang w:eastAsia="en-GB"/>
        </w:rPr>
      </w:pPr>
    </w:p>
    <w:p w14:paraId="3FDFCEB8" w14:textId="77777777" w:rsidR="00F60301" w:rsidRPr="00F60301" w:rsidRDefault="00F60301" w:rsidP="00F60301">
      <w:pPr>
        <w:rPr>
          <w:rFonts w:eastAsia="Calibri" w:cs="Arial"/>
          <w:sz w:val="22"/>
          <w:szCs w:val="22"/>
        </w:rPr>
      </w:pPr>
    </w:p>
    <w:p w14:paraId="080A3B32" w14:textId="3EA57621" w:rsidR="00F60301" w:rsidRPr="00F60301" w:rsidRDefault="00F60301" w:rsidP="00F60301">
      <w:pPr>
        <w:rPr>
          <w:rFonts w:eastAsia="Calibri" w:cs="Arial"/>
          <w:b/>
          <w:bCs/>
          <w:sz w:val="22"/>
          <w:szCs w:val="22"/>
        </w:rPr>
      </w:pPr>
      <w:r w:rsidRPr="00F60301">
        <w:rPr>
          <w:rFonts w:eastAsia="Calibri" w:cs="Arial"/>
          <w:b/>
          <w:bCs/>
          <w:sz w:val="22"/>
          <w:szCs w:val="22"/>
        </w:rPr>
        <w:t>Application 1</w:t>
      </w:r>
      <w:r w:rsidR="00336DCE" w:rsidRPr="00DF0C00">
        <w:rPr>
          <w:rFonts w:eastAsia="Calibri" w:cs="Arial"/>
          <w:b/>
          <w:bCs/>
          <w:sz w:val="22"/>
          <w:szCs w:val="22"/>
        </w:rPr>
        <w:t xml:space="preserve"> (</w:t>
      </w:r>
      <w:r w:rsidR="00464D20">
        <w:rPr>
          <w:rFonts w:eastAsia="Calibri" w:cs="Arial"/>
          <w:b/>
          <w:bCs/>
          <w:sz w:val="22"/>
          <w:szCs w:val="22"/>
        </w:rPr>
        <w:t xml:space="preserve">proposed </w:t>
      </w:r>
      <w:r w:rsidR="00336DCE" w:rsidRPr="00DF0C00">
        <w:rPr>
          <w:rFonts w:eastAsia="Calibri" w:cs="Arial"/>
          <w:b/>
          <w:bCs/>
          <w:sz w:val="22"/>
          <w:szCs w:val="22"/>
        </w:rPr>
        <w:t xml:space="preserve">delivery via Council </w:t>
      </w:r>
      <w:r w:rsidR="00DB2598" w:rsidRPr="00DF0C00">
        <w:rPr>
          <w:rFonts w:eastAsia="Calibri" w:cs="Arial"/>
          <w:b/>
          <w:bCs/>
          <w:sz w:val="22"/>
          <w:szCs w:val="22"/>
        </w:rPr>
        <w:t>f</w:t>
      </w:r>
      <w:r w:rsidR="00336DCE" w:rsidRPr="00DF0C00">
        <w:rPr>
          <w:rFonts w:eastAsia="Calibri" w:cs="Arial"/>
          <w:b/>
          <w:bCs/>
          <w:sz w:val="22"/>
          <w:szCs w:val="22"/>
        </w:rPr>
        <w:t xml:space="preserve">ramework contracts) </w:t>
      </w:r>
    </w:p>
    <w:p w14:paraId="0B8D922F" w14:textId="77777777" w:rsidR="00F60301" w:rsidRPr="00F60301" w:rsidRDefault="00F60301" w:rsidP="00F60301">
      <w:pPr>
        <w:rPr>
          <w:rFonts w:eastAsia="Calibri" w:cs="Arial"/>
          <w:sz w:val="22"/>
          <w:szCs w:val="22"/>
        </w:rPr>
      </w:pPr>
    </w:p>
    <w:tbl>
      <w:tblPr>
        <w:tblW w:w="0" w:type="auto"/>
        <w:tblCellMar>
          <w:left w:w="0" w:type="dxa"/>
          <w:right w:w="0" w:type="dxa"/>
        </w:tblCellMar>
        <w:tblLook w:val="04A0" w:firstRow="1" w:lastRow="0" w:firstColumn="1" w:lastColumn="0" w:noHBand="0" w:noVBand="1"/>
      </w:tblPr>
      <w:tblGrid>
        <w:gridCol w:w="4262"/>
        <w:gridCol w:w="4263"/>
      </w:tblGrid>
      <w:tr w:rsidR="00F60301" w:rsidRPr="00F60301" w14:paraId="501507AB" w14:textId="77777777" w:rsidTr="00F60301">
        <w:tc>
          <w:tcPr>
            <w:tcW w:w="4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12DBE36" w14:textId="77777777" w:rsidR="00F60301" w:rsidRPr="00F60301" w:rsidRDefault="00F60301" w:rsidP="00F60301">
            <w:pPr>
              <w:rPr>
                <w:rFonts w:eastAsia="Calibri" w:cs="Arial"/>
                <w:sz w:val="22"/>
                <w:szCs w:val="22"/>
              </w:rPr>
            </w:pPr>
            <w:r w:rsidRPr="00F60301">
              <w:rPr>
                <w:rFonts w:eastAsia="Calibri" w:cs="Arial"/>
                <w:sz w:val="22"/>
                <w:szCs w:val="22"/>
              </w:rPr>
              <w:t>Grange Primary School</w:t>
            </w:r>
          </w:p>
        </w:tc>
        <w:tc>
          <w:tcPr>
            <w:tcW w:w="467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2E6ECBD" w14:textId="77777777" w:rsidR="00F60301" w:rsidRPr="00F60301" w:rsidRDefault="00F60301" w:rsidP="00F60301">
            <w:pPr>
              <w:rPr>
                <w:rFonts w:eastAsia="Calibri" w:cs="Arial"/>
                <w:sz w:val="22"/>
                <w:szCs w:val="22"/>
              </w:rPr>
            </w:pPr>
            <w:r w:rsidRPr="00F60301">
              <w:rPr>
                <w:rFonts w:eastAsia="Calibri" w:cs="Arial"/>
                <w:sz w:val="22"/>
                <w:szCs w:val="22"/>
              </w:rPr>
              <w:t xml:space="preserve">External wall Insulation, LED lighting  </w:t>
            </w:r>
          </w:p>
        </w:tc>
      </w:tr>
      <w:tr w:rsidR="00F60301" w:rsidRPr="00F60301" w14:paraId="39BC1A74" w14:textId="77777777" w:rsidTr="00F60301">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1D4125F" w14:textId="77777777" w:rsidR="00F60301" w:rsidRPr="00F60301" w:rsidRDefault="00F60301" w:rsidP="00F60301">
            <w:pPr>
              <w:rPr>
                <w:rFonts w:eastAsia="Calibri" w:cs="Arial"/>
                <w:sz w:val="22"/>
                <w:szCs w:val="22"/>
              </w:rPr>
            </w:pPr>
            <w:r w:rsidRPr="00F60301">
              <w:rPr>
                <w:rFonts w:eastAsia="Calibri" w:cs="Arial"/>
                <w:sz w:val="22"/>
                <w:szCs w:val="22"/>
              </w:rPr>
              <w:t>West Lodge Primary School</w:t>
            </w:r>
          </w:p>
        </w:tc>
        <w:tc>
          <w:tcPr>
            <w:tcW w:w="4675" w:type="dxa"/>
            <w:tcBorders>
              <w:top w:val="nil"/>
              <w:left w:val="nil"/>
              <w:bottom w:val="single" w:sz="8" w:space="0" w:color="auto"/>
              <w:right w:val="single" w:sz="8" w:space="0" w:color="auto"/>
            </w:tcBorders>
            <w:tcMar>
              <w:top w:w="0" w:type="dxa"/>
              <w:left w:w="108" w:type="dxa"/>
              <w:bottom w:w="0" w:type="dxa"/>
              <w:right w:w="108" w:type="dxa"/>
            </w:tcMar>
            <w:hideMark/>
          </w:tcPr>
          <w:p w14:paraId="4FD1ABE4" w14:textId="7F597B73" w:rsidR="00F60301" w:rsidRPr="00F60301" w:rsidRDefault="00F60301" w:rsidP="00F60301">
            <w:pPr>
              <w:rPr>
                <w:rFonts w:eastAsia="Calibri" w:cs="Arial"/>
                <w:sz w:val="22"/>
                <w:szCs w:val="22"/>
              </w:rPr>
            </w:pPr>
            <w:r w:rsidRPr="00F60301">
              <w:rPr>
                <w:rFonts w:eastAsia="Calibri" w:cs="Arial"/>
                <w:sz w:val="22"/>
                <w:szCs w:val="22"/>
              </w:rPr>
              <w:t>Cavity wall insulation, LED lighting, B</w:t>
            </w:r>
            <w:r w:rsidR="00E5009C" w:rsidRPr="00DF0C00">
              <w:rPr>
                <w:rFonts w:eastAsia="Calibri" w:cs="Arial"/>
                <w:sz w:val="22"/>
                <w:szCs w:val="22"/>
              </w:rPr>
              <w:t xml:space="preserve">uilding </w:t>
            </w:r>
            <w:r w:rsidRPr="00F60301">
              <w:rPr>
                <w:rFonts w:eastAsia="Calibri" w:cs="Arial"/>
                <w:sz w:val="22"/>
                <w:szCs w:val="22"/>
              </w:rPr>
              <w:t>M</w:t>
            </w:r>
            <w:r w:rsidR="00E5009C" w:rsidRPr="00DF0C00">
              <w:rPr>
                <w:rFonts w:eastAsia="Calibri" w:cs="Arial"/>
                <w:sz w:val="22"/>
                <w:szCs w:val="22"/>
              </w:rPr>
              <w:t xml:space="preserve">anagement </w:t>
            </w:r>
            <w:r w:rsidRPr="00F60301">
              <w:rPr>
                <w:rFonts w:eastAsia="Calibri" w:cs="Arial"/>
                <w:sz w:val="22"/>
                <w:szCs w:val="22"/>
              </w:rPr>
              <w:t>System</w:t>
            </w:r>
            <w:r w:rsidR="00E5009C" w:rsidRPr="00DF0C00">
              <w:rPr>
                <w:rFonts w:eastAsia="Calibri" w:cs="Arial"/>
                <w:sz w:val="22"/>
                <w:szCs w:val="22"/>
              </w:rPr>
              <w:t xml:space="preserve"> (BMS)</w:t>
            </w:r>
          </w:p>
        </w:tc>
      </w:tr>
      <w:tr w:rsidR="00F60301" w:rsidRPr="00F60301" w14:paraId="18DFCE4C" w14:textId="77777777" w:rsidTr="00F60301">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4F98B4" w14:textId="77777777" w:rsidR="00F60301" w:rsidRPr="00F60301" w:rsidRDefault="00F60301" w:rsidP="00F60301">
            <w:pPr>
              <w:rPr>
                <w:rFonts w:eastAsia="Calibri" w:cs="Arial"/>
                <w:sz w:val="22"/>
                <w:szCs w:val="22"/>
              </w:rPr>
            </w:pPr>
            <w:proofErr w:type="spellStart"/>
            <w:r w:rsidRPr="00F60301">
              <w:rPr>
                <w:rFonts w:eastAsia="Calibri" w:cs="Arial"/>
                <w:sz w:val="22"/>
                <w:szCs w:val="22"/>
              </w:rPr>
              <w:t>Grimsdyke</w:t>
            </w:r>
            <w:proofErr w:type="spellEnd"/>
            <w:r w:rsidRPr="00F60301">
              <w:rPr>
                <w:rFonts w:eastAsia="Calibri" w:cs="Arial"/>
                <w:sz w:val="22"/>
                <w:szCs w:val="22"/>
              </w:rPr>
              <w:t xml:space="preserve"> School           </w:t>
            </w:r>
          </w:p>
        </w:tc>
        <w:tc>
          <w:tcPr>
            <w:tcW w:w="4675" w:type="dxa"/>
            <w:tcBorders>
              <w:top w:val="nil"/>
              <w:left w:val="nil"/>
              <w:bottom w:val="single" w:sz="8" w:space="0" w:color="auto"/>
              <w:right w:val="single" w:sz="8" w:space="0" w:color="auto"/>
            </w:tcBorders>
            <w:tcMar>
              <w:top w:w="0" w:type="dxa"/>
              <w:left w:w="108" w:type="dxa"/>
              <w:bottom w:w="0" w:type="dxa"/>
              <w:right w:w="108" w:type="dxa"/>
            </w:tcMar>
          </w:tcPr>
          <w:p w14:paraId="08A1EC96" w14:textId="77777777" w:rsidR="00F60301" w:rsidRPr="00F60301" w:rsidRDefault="00F60301" w:rsidP="00F60301">
            <w:pPr>
              <w:rPr>
                <w:rFonts w:eastAsia="Calibri" w:cs="Arial"/>
                <w:sz w:val="22"/>
                <w:szCs w:val="22"/>
              </w:rPr>
            </w:pPr>
            <w:r w:rsidRPr="00F60301">
              <w:rPr>
                <w:rFonts w:eastAsia="Calibri" w:cs="Arial"/>
                <w:sz w:val="22"/>
                <w:szCs w:val="22"/>
              </w:rPr>
              <w:t>External wall insulation, LED lighting</w:t>
            </w:r>
          </w:p>
          <w:p w14:paraId="46FDFD00" w14:textId="77777777" w:rsidR="00F60301" w:rsidRPr="00F60301" w:rsidRDefault="00F60301" w:rsidP="00F60301">
            <w:pPr>
              <w:rPr>
                <w:rFonts w:eastAsia="Calibri" w:cs="Arial"/>
                <w:sz w:val="22"/>
                <w:szCs w:val="22"/>
              </w:rPr>
            </w:pPr>
          </w:p>
        </w:tc>
      </w:tr>
      <w:tr w:rsidR="00F60301" w:rsidRPr="00F60301" w14:paraId="4CD0FF16" w14:textId="77777777" w:rsidTr="00F60301">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CF9F3FA" w14:textId="77777777" w:rsidR="00F60301" w:rsidRPr="00F60301" w:rsidRDefault="00F60301" w:rsidP="00F60301">
            <w:pPr>
              <w:rPr>
                <w:rFonts w:eastAsia="Calibri" w:cs="Arial"/>
                <w:sz w:val="22"/>
                <w:szCs w:val="22"/>
              </w:rPr>
            </w:pPr>
            <w:proofErr w:type="spellStart"/>
            <w:r w:rsidRPr="00F60301">
              <w:rPr>
                <w:rFonts w:eastAsia="Calibri" w:cs="Arial"/>
                <w:sz w:val="22"/>
                <w:szCs w:val="22"/>
              </w:rPr>
              <w:t>Millmans</w:t>
            </w:r>
            <w:proofErr w:type="spellEnd"/>
            <w:r w:rsidRPr="00F60301">
              <w:rPr>
                <w:rFonts w:eastAsia="Calibri" w:cs="Arial"/>
                <w:sz w:val="22"/>
                <w:szCs w:val="22"/>
              </w:rPr>
              <w:t xml:space="preserve"> Resource Centre</w:t>
            </w:r>
          </w:p>
        </w:tc>
        <w:tc>
          <w:tcPr>
            <w:tcW w:w="4675" w:type="dxa"/>
            <w:tcBorders>
              <w:top w:val="nil"/>
              <w:left w:val="nil"/>
              <w:bottom w:val="single" w:sz="8" w:space="0" w:color="auto"/>
              <w:right w:val="single" w:sz="8" w:space="0" w:color="auto"/>
            </w:tcBorders>
            <w:tcMar>
              <w:top w:w="0" w:type="dxa"/>
              <w:left w:w="108" w:type="dxa"/>
              <w:bottom w:w="0" w:type="dxa"/>
              <w:right w:w="108" w:type="dxa"/>
            </w:tcMar>
            <w:hideMark/>
          </w:tcPr>
          <w:p w14:paraId="7C11AAC3" w14:textId="77777777" w:rsidR="00F60301" w:rsidRPr="00F60301" w:rsidRDefault="00F60301" w:rsidP="00F60301">
            <w:pPr>
              <w:rPr>
                <w:rFonts w:eastAsia="Calibri" w:cs="Arial"/>
                <w:sz w:val="22"/>
                <w:szCs w:val="22"/>
              </w:rPr>
            </w:pPr>
            <w:r w:rsidRPr="00F60301">
              <w:rPr>
                <w:rFonts w:eastAsia="Calibri" w:cs="Arial"/>
                <w:sz w:val="22"/>
                <w:szCs w:val="22"/>
              </w:rPr>
              <w:t>LED lighting</w:t>
            </w:r>
          </w:p>
        </w:tc>
      </w:tr>
      <w:tr w:rsidR="00F60301" w:rsidRPr="00F60301" w14:paraId="28D30FA8" w14:textId="77777777" w:rsidTr="00F60301">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8D6DFC3" w14:textId="77777777" w:rsidR="00F60301" w:rsidRPr="00F60301" w:rsidRDefault="00F60301" w:rsidP="00F60301">
            <w:pPr>
              <w:rPr>
                <w:rFonts w:eastAsia="Calibri" w:cs="Arial"/>
                <w:sz w:val="22"/>
                <w:szCs w:val="22"/>
              </w:rPr>
            </w:pPr>
            <w:r w:rsidRPr="00F60301">
              <w:rPr>
                <w:rFonts w:eastAsia="Calibri" w:cs="Arial"/>
                <w:sz w:val="22"/>
                <w:szCs w:val="22"/>
              </w:rPr>
              <w:t>Bedford House</w:t>
            </w:r>
          </w:p>
        </w:tc>
        <w:tc>
          <w:tcPr>
            <w:tcW w:w="4675" w:type="dxa"/>
            <w:tcBorders>
              <w:top w:val="nil"/>
              <w:left w:val="nil"/>
              <w:bottom w:val="single" w:sz="8" w:space="0" w:color="auto"/>
              <w:right w:val="single" w:sz="8" w:space="0" w:color="auto"/>
            </w:tcBorders>
            <w:tcMar>
              <w:top w:w="0" w:type="dxa"/>
              <w:left w:w="108" w:type="dxa"/>
              <w:bottom w:w="0" w:type="dxa"/>
              <w:right w:w="108" w:type="dxa"/>
            </w:tcMar>
            <w:hideMark/>
          </w:tcPr>
          <w:p w14:paraId="3652FD7A" w14:textId="77777777" w:rsidR="00F60301" w:rsidRPr="00F60301" w:rsidRDefault="00F60301" w:rsidP="00F60301">
            <w:pPr>
              <w:rPr>
                <w:rFonts w:eastAsia="Calibri" w:cs="Arial"/>
                <w:sz w:val="22"/>
                <w:szCs w:val="22"/>
              </w:rPr>
            </w:pPr>
            <w:r w:rsidRPr="00F60301">
              <w:rPr>
                <w:rFonts w:eastAsia="Calibri" w:cs="Arial"/>
                <w:sz w:val="22"/>
                <w:szCs w:val="22"/>
              </w:rPr>
              <w:t>LED lighting</w:t>
            </w:r>
          </w:p>
        </w:tc>
      </w:tr>
      <w:tr w:rsidR="00F60301" w:rsidRPr="00F60301" w14:paraId="67B24791" w14:textId="77777777" w:rsidTr="00F60301">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40C6DCF" w14:textId="77777777" w:rsidR="00F60301" w:rsidRPr="00F60301" w:rsidRDefault="00F60301" w:rsidP="00F60301">
            <w:pPr>
              <w:rPr>
                <w:rFonts w:eastAsia="Calibri" w:cs="Arial"/>
                <w:sz w:val="22"/>
                <w:szCs w:val="22"/>
              </w:rPr>
            </w:pPr>
            <w:r w:rsidRPr="00F60301">
              <w:rPr>
                <w:rFonts w:eastAsia="Calibri" w:cs="Arial"/>
                <w:sz w:val="22"/>
                <w:szCs w:val="22"/>
              </w:rPr>
              <w:t>Pinner Library</w:t>
            </w:r>
          </w:p>
        </w:tc>
        <w:tc>
          <w:tcPr>
            <w:tcW w:w="4675" w:type="dxa"/>
            <w:tcBorders>
              <w:top w:val="nil"/>
              <w:left w:val="nil"/>
              <w:bottom w:val="single" w:sz="8" w:space="0" w:color="auto"/>
              <w:right w:val="single" w:sz="8" w:space="0" w:color="auto"/>
            </w:tcBorders>
            <w:tcMar>
              <w:top w:w="0" w:type="dxa"/>
              <w:left w:w="108" w:type="dxa"/>
              <w:bottom w:w="0" w:type="dxa"/>
              <w:right w:w="108" w:type="dxa"/>
            </w:tcMar>
            <w:hideMark/>
          </w:tcPr>
          <w:p w14:paraId="2BDD6682" w14:textId="77777777" w:rsidR="00F60301" w:rsidRPr="00F60301" w:rsidRDefault="00F60301" w:rsidP="00F60301">
            <w:pPr>
              <w:rPr>
                <w:rFonts w:eastAsia="Calibri" w:cs="Arial"/>
                <w:sz w:val="22"/>
                <w:szCs w:val="22"/>
              </w:rPr>
            </w:pPr>
            <w:r w:rsidRPr="00F60301">
              <w:rPr>
                <w:rFonts w:eastAsia="Calibri" w:cs="Arial"/>
                <w:sz w:val="22"/>
                <w:szCs w:val="22"/>
              </w:rPr>
              <w:t>Loft insulation, LED lighting</w:t>
            </w:r>
          </w:p>
        </w:tc>
      </w:tr>
    </w:tbl>
    <w:p w14:paraId="3D706450" w14:textId="77777777" w:rsidR="00F60301" w:rsidRPr="00F60301" w:rsidRDefault="00F60301" w:rsidP="00F60301">
      <w:pPr>
        <w:rPr>
          <w:rFonts w:eastAsia="Calibri" w:cs="Arial"/>
          <w:sz w:val="22"/>
          <w:szCs w:val="22"/>
        </w:rPr>
      </w:pPr>
    </w:p>
    <w:p w14:paraId="72AA7884" w14:textId="608FEC07" w:rsidR="00F60301" w:rsidRPr="00F60301" w:rsidRDefault="00F60301" w:rsidP="00F60301">
      <w:pPr>
        <w:rPr>
          <w:rFonts w:eastAsia="Calibri" w:cs="Arial"/>
          <w:sz w:val="22"/>
          <w:szCs w:val="22"/>
        </w:rPr>
      </w:pPr>
      <w:r w:rsidRPr="00F60301">
        <w:rPr>
          <w:rFonts w:eastAsia="Calibri" w:cs="Arial"/>
          <w:sz w:val="22"/>
          <w:szCs w:val="22"/>
        </w:rPr>
        <w:t xml:space="preserve">The total grant funding applied for is </w:t>
      </w:r>
      <w:r w:rsidRPr="00F60301">
        <w:rPr>
          <w:rFonts w:eastAsia="Calibri" w:cs="Arial"/>
          <w:sz w:val="22"/>
          <w:szCs w:val="22"/>
          <w:u w:val="single"/>
        </w:rPr>
        <w:t>£603,572</w:t>
      </w:r>
      <w:r w:rsidRPr="00F60301">
        <w:rPr>
          <w:rFonts w:eastAsia="Calibri" w:cs="Arial"/>
          <w:sz w:val="22"/>
          <w:szCs w:val="22"/>
        </w:rPr>
        <w:t xml:space="preserve">. </w:t>
      </w:r>
    </w:p>
    <w:p w14:paraId="10DE4629" w14:textId="77777777" w:rsidR="00F60301" w:rsidRPr="00F60301" w:rsidRDefault="00F60301" w:rsidP="00F60301">
      <w:pPr>
        <w:rPr>
          <w:rFonts w:eastAsia="Calibri" w:cs="Arial"/>
          <w:sz w:val="22"/>
          <w:szCs w:val="22"/>
        </w:rPr>
      </w:pPr>
    </w:p>
    <w:p w14:paraId="2A6BA981" w14:textId="68387700" w:rsidR="00F60301" w:rsidRPr="00F60301" w:rsidRDefault="00F60301" w:rsidP="00F60301">
      <w:pPr>
        <w:rPr>
          <w:rFonts w:eastAsia="Calibri" w:cs="Arial"/>
          <w:b/>
          <w:bCs/>
          <w:sz w:val="22"/>
          <w:szCs w:val="22"/>
        </w:rPr>
      </w:pPr>
      <w:r w:rsidRPr="00F60301">
        <w:rPr>
          <w:rFonts w:eastAsia="Calibri" w:cs="Arial"/>
          <w:b/>
          <w:bCs/>
          <w:sz w:val="22"/>
          <w:szCs w:val="22"/>
        </w:rPr>
        <w:t>Application 2</w:t>
      </w:r>
      <w:r w:rsidR="00336DCE" w:rsidRPr="00DF0C00">
        <w:rPr>
          <w:rFonts w:eastAsia="Calibri" w:cs="Arial"/>
          <w:b/>
          <w:bCs/>
          <w:sz w:val="22"/>
          <w:szCs w:val="22"/>
        </w:rPr>
        <w:t xml:space="preserve"> (</w:t>
      </w:r>
      <w:r w:rsidR="00464D20">
        <w:rPr>
          <w:rFonts w:eastAsia="Calibri" w:cs="Arial"/>
          <w:b/>
          <w:bCs/>
          <w:sz w:val="22"/>
          <w:szCs w:val="22"/>
        </w:rPr>
        <w:t xml:space="preserve">proposed </w:t>
      </w:r>
      <w:r w:rsidR="00336DCE" w:rsidRPr="00DF0C00">
        <w:rPr>
          <w:rFonts w:eastAsia="Calibri" w:cs="Arial"/>
          <w:b/>
          <w:bCs/>
          <w:sz w:val="22"/>
          <w:szCs w:val="22"/>
        </w:rPr>
        <w:t>delivery via C</w:t>
      </w:r>
      <w:r w:rsidR="00DB2598" w:rsidRPr="00DF0C00">
        <w:rPr>
          <w:rFonts w:eastAsia="Calibri" w:cs="Arial"/>
          <w:b/>
          <w:bCs/>
          <w:sz w:val="22"/>
          <w:szCs w:val="22"/>
        </w:rPr>
        <w:t xml:space="preserve">ouncil </w:t>
      </w:r>
      <w:r w:rsidR="00DF0C00">
        <w:rPr>
          <w:rFonts w:eastAsia="Calibri" w:cs="Arial"/>
          <w:b/>
          <w:bCs/>
          <w:sz w:val="22"/>
          <w:szCs w:val="22"/>
        </w:rPr>
        <w:t>f</w:t>
      </w:r>
      <w:r w:rsidR="00DB2598" w:rsidRPr="00DF0C00">
        <w:rPr>
          <w:rFonts w:eastAsia="Calibri" w:cs="Arial"/>
          <w:b/>
          <w:bCs/>
          <w:sz w:val="22"/>
          <w:szCs w:val="22"/>
        </w:rPr>
        <w:t>ramework contracts)</w:t>
      </w:r>
    </w:p>
    <w:p w14:paraId="7F52768D" w14:textId="77777777" w:rsidR="00F60301" w:rsidRPr="00F60301" w:rsidRDefault="00F60301" w:rsidP="00F60301">
      <w:pPr>
        <w:rPr>
          <w:rFonts w:eastAsia="Calibri" w:cs="Arial"/>
          <w:b/>
          <w:bCs/>
          <w:sz w:val="22"/>
          <w:szCs w:val="22"/>
        </w:rPr>
      </w:pPr>
    </w:p>
    <w:tbl>
      <w:tblPr>
        <w:tblW w:w="7460" w:type="dxa"/>
        <w:tblInd w:w="2" w:type="dxa"/>
        <w:tblCellMar>
          <w:left w:w="0" w:type="dxa"/>
          <w:right w:w="0" w:type="dxa"/>
        </w:tblCellMar>
        <w:tblLook w:val="04A0" w:firstRow="1" w:lastRow="0" w:firstColumn="1" w:lastColumn="0" w:noHBand="0" w:noVBand="1"/>
      </w:tblPr>
      <w:tblGrid>
        <w:gridCol w:w="2740"/>
        <w:gridCol w:w="4720"/>
      </w:tblGrid>
      <w:tr w:rsidR="00F60301" w:rsidRPr="00F60301" w14:paraId="0097BF1D" w14:textId="77777777" w:rsidTr="00F60301">
        <w:trPr>
          <w:trHeight w:val="285"/>
        </w:trPr>
        <w:tc>
          <w:tcPr>
            <w:tcW w:w="2740" w:type="dxa"/>
            <w:tcBorders>
              <w:top w:val="single" w:sz="8" w:space="0" w:color="auto"/>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199B045F" w14:textId="77777777" w:rsidR="00F60301" w:rsidRPr="00F60301" w:rsidRDefault="00F60301" w:rsidP="00F60301">
            <w:pPr>
              <w:rPr>
                <w:rFonts w:eastAsia="Calibri" w:cs="Arial"/>
                <w:color w:val="000000"/>
                <w:sz w:val="22"/>
                <w:szCs w:val="22"/>
                <w:lang w:eastAsia="en-GB"/>
              </w:rPr>
            </w:pPr>
            <w:proofErr w:type="spellStart"/>
            <w:r w:rsidRPr="00F60301">
              <w:rPr>
                <w:rFonts w:eastAsia="Calibri" w:cs="Arial"/>
                <w:color w:val="000000"/>
                <w:sz w:val="22"/>
                <w:szCs w:val="22"/>
                <w:lang w:eastAsia="en-GB"/>
              </w:rPr>
              <w:t>Grimsdyke</w:t>
            </w:r>
            <w:proofErr w:type="spellEnd"/>
            <w:r w:rsidRPr="00F60301">
              <w:rPr>
                <w:rFonts w:eastAsia="Calibri" w:cs="Arial"/>
                <w:color w:val="000000"/>
                <w:sz w:val="22"/>
                <w:szCs w:val="22"/>
                <w:lang w:eastAsia="en-GB"/>
              </w:rPr>
              <w:t xml:space="preserve"> School</w:t>
            </w:r>
          </w:p>
        </w:tc>
        <w:tc>
          <w:tcPr>
            <w:tcW w:w="4720"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6B0381CE" w14:textId="40A217BA" w:rsidR="00F60301" w:rsidRPr="00F60301" w:rsidRDefault="00F60301" w:rsidP="00F60301">
            <w:pPr>
              <w:rPr>
                <w:rFonts w:eastAsia="Calibri" w:cs="Arial"/>
                <w:color w:val="000000"/>
                <w:sz w:val="22"/>
                <w:szCs w:val="22"/>
                <w:lang w:eastAsia="en-GB"/>
              </w:rPr>
            </w:pPr>
            <w:r w:rsidRPr="00F60301">
              <w:rPr>
                <w:rFonts w:eastAsia="Calibri" w:cs="Arial"/>
                <w:color w:val="000000"/>
                <w:sz w:val="22"/>
                <w:szCs w:val="22"/>
                <w:lang w:eastAsia="en-GB"/>
              </w:rPr>
              <w:t>Install Air Source Heat Pump (ASHP</w:t>
            </w:r>
            <w:r w:rsidR="00E5009C" w:rsidRPr="00DF0C00">
              <w:rPr>
                <w:rFonts w:eastAsia="Calibri" w:cs="Arial"/>
                <w:color w:val="000000"/>
                <w:sz w:val="22"/>
                <w:szCs w:val="22"/>
                <w:lang w:eastAsia="en-GB"/>
              </w:rPr>
              <w:t>)</w:t>
            </w:r>
            <w:r w:rsidRPr="00F60301">
              <w:rPr>
                <w:rFonts w:eastAsia="Calibri" w:cs="Arial"/>
                <w:color w:val="000000"/>
                <w:sz w:val="22"/>
                <w:szCs w:val="22"/>
                <w:lang w:eastAsia="en-GB"/>
              </w:rPr>
              <w:t xml:space="preserve">, BMS extension </w:t>
            </w:r>
          </w:p>
        </w:tc>
      </w:tr>
      <w:tr w:rsidR="00F60301" w:rsidRPr="00F60301" w14:paraId="5F829B92" w14:textId="77777777" w:rsidTr="00F60301">
        <w:trPr>
          <w:trHeight w:val="285"/>
        </w:trPr>
        <w:tc>
          <w:tcPr>
            <w:tcW w:w="274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588B7800" w14:textId="77777777" w:rsidR="00F60301" w:rsidRPr="00F60301" w:rsidRDefault="00F60301" w:rsidP="00F60301">
            <w:pPr>
              <w:rPr>
                <w:rFonts w:eastAsia="Calibri" w:cs="Arial"/>
                <w:color w:val="000000"/>
                <w:sz w:val="22"/>
                <w:szCs w:val="22"/>
                <w:lang w:eastAsia="en-GB"/>
              </w:rPr>
            </w:pPr>
            <w:proofErr w:type="spellStart"/>
            <w:r w:rsidRPr="00F60301">
              <w:rPr>
                <w:rFonts w:eastAsia="Calibri" w:cs="Arial"/>
                <w:color w:val="000000"/>
                <w:sz w:val="22"/>
                <w:szCs w:val="22"/>
                <w:lang w:eastAsia="en-GB"/>
              </w:rPr>
              <w:t>Milmans</w:t>
            </w:r>
            <w:proofErr w:type="spellEnd"/>
            <w:r w:rsidRPr="00F60301">
              <w:rPr>
                <w:rFonts w:eastAsia="Calibri" w:cs="Arial"/>
                <w:color w:val="000000"/>
                <w:sz w:val="22"/>
                <w:szCs w:val="22"/>
                <w:lang w:eastAsia="en-GB"/>
              </w:rPr>
              <w:t xml:space="preserve"> Resource Centre</w:t>
            </w:r>
          </w:p>
        </w:tc>
        <w:tc>
          <w:tcPr>
            <w:tcW w:w="472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7987883E" w14:textId="77777777" w:rsidR="00F60301" w:rsidRPr="00F60301" w:rsidRDefault="00F60301" w:rsidP="00F60301">
            <w:pPr>
              <w:rPr>
                <w:rFonts w:eastAsia="Calibri" w:cs="Arial"/>
                <w:color w:val="000000"/>
                <w:sz w:val="22"/>
                <w:szCs w:val="22"/>
                <w:lang w:eastAsia="en-GB"/>
              </w:rPr>
            </w:pPr>
            <w:r w:rsidRPr="00F60301">
              <w:rPr>
                <w:rFonts w:eastAsia="Calibri" w:cs="Arial"/>
                <w:color w:val="000000"/>
                <w:sz w:val="22"/>
                <w:szCs w:val="22"/>
                <w:lang w:eastAsia="en-GB"/>
              </w:rPr>
              <w:t>Replace gas-fired boiler with ASHP</w:t>
            </w:r>
          </w:p>
        </w:tc>
      </w:tr>
      <w:tr w:rsidR="00F60301" w:rsidRPr="00F60301" w14:paraId="381A0E5C" w14:textId="77777777" w:rsidTr="00F60301">
        <w:trPr>
          <w:trHeight w:val="285"/>
        </w:trPr>
        <w:tc>
          <w:tcPr>
            <w:tcW w:w="274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3097235B" w14:textId="77777777" w:rsidR="00F60301" w:rsidRPr="00F60301" w:rsidRDefault="00F60301" w:rsidP="00F60301">
            <w:pPr>
              <w:rPr>
                <w:rFonts w:eastAsia="Calibri" w:cs="Arial"/>
                <w:color w:val="000000"/>
                <w:sz w:val="22"/>
                <w:szCs w:val="22"/>
                <w:lang w:eastAsia="en-GB"/>
              </w:rPr>
            </w:pPr>
            <w:r w:rsidRPr="00F60301">
              <w:rPr>
                <w:rFonts w:eastAsia="Calibri" w:cs="Arial"/>
                <w:color w:val="000000"/>
                <w:sz w:val="22"/>
                <w:szCs w:val="22"/>
                <w:lang w:eastAsia="en-GB"/>
              </w:rPr>
              <w:t>Grange Primary School</w:t>
            </w:r>
          </w:p>
        </w:tc>
        <w:tc>
          <w:tcPr>
            <w:tcW w:w="472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31342271" w14:textId="0B75BC28" w:rsidR="00F60301" w:rsidRPr="00F60301" w:rsidRDefault="00F60301" w:rsidP="00F60301">
            <w:pPr>
              <w:rPr>
                <w:rFonts w:eastAsia="Calibri" w:cs="Arial"/>
                <w:color w:val="000000"/>
                <w:sz w:val="22"/>
                <w:szCs w:val="22"/>
                <w:lang w:eastAsia="en-GB"/>
              </w:rPr>
            </w:pPr>
            <w:r w:rsidRPr="00F60301">
              <w:rPr>
                <w:rFonts w:eastAsia="Calibri" w:cs="Arial"/>
                <w:color w:val="000000"/>
                <w:sz w:val="22"/>
                <w:szCs w:val="22"/>
                <w:lang w:eastAsia="en-GB"/>
              </w:rPr>
              <w:t xml:space="preserve">Install </w:t>
            </w:r>
            <w:proofErr w:type="gramStart"/>
            <w:r w:rsidRPr="00F60301">
              <w:rPr>
                <w:rFonts w:eastAsia="Calibri" w:cs="Arial"/>
                <w:color w:val="000000"/>
                <w:sz w:val="22"/>
                <w:szCs w:val="22"/>
                <w:lang w:eastAsia="en-GB"/>
              </w:rPr>
              <w:t>ASHP,  </w:t>
            </w:r>
            <w:r w:rsidR="00D720A2">
              <w:rPr>
                <w:rFonts w:eastAsia="Calibri" w:cs="Arial"/>
                <w:color w:val="000000"/>
                <w:sz w:val="22"/>
                <w:szCs w:val="22"/>
                <w:lang w:eastAsia="en-GB"/>
              </w:rPr>
              <w:t>further</w:t>
            </w:r>
            <w:proofErr w:type="gramEnd"/>
            <w:r w:rsidR="00D720A2">
              <w:rPr>
                <w:rFonts w:eastAsia="Calibri" w:cs="Arial"/>
                <w:color w:val="000000"/>
                <w:sz w:val="22"/>
                <w:szCs w:val="22"/>
                <w:lang w:eastAsia="en-GB"/>
              </w:rPr>
              <w:t xml:space="preserve"> i</w:t>
            </w:r>
            <w:r w:rsidRPr="00F60301">
              <w:rPr>
                <w:rFonts w:eastAsia="Calibri" w:cs="Arial"/>
                <w:color w:val="000000"/>
                <w:sz w:val="22"/>
                <w:szCs w:val="22"/>
                <w:lang w:eastAsia="en-GB"/>
              </w:rPr>
              <w:t>nsulat</w:t>
            </w:r>
            <w:r w:rsidR="00A87502">
              <w:rPr>
                <w:rFonts w:eastAsia="Calibri" w:cs="Arial"/>
                <w:color w:val="000000"/>
                <w:sz w:val="22"/>
                <w:szCs w:val="22"/>
                <w:lang w:eastAsia="en-GB"/>
              </w:rPr>
              <w:t xml:space="preserve">ion </w:t>
            </w:r>
            <w:r w:rsidR="00D720A2">
              <w:rPr>
                <w:rFonts w:eastAsia="Calibri" w:cs="Arial"/>
                <w:color w:val="000000"/>
                <w:sz w:val="22"/>
                <w:szCs w:val="22"/>
                <w:lang w:eastAsia="en-GB"/>
              </w:rPr>
              <w:t>improvements</w:t>
            </w:r>
          </w:p>
        </w:tc>
      </w:tr>
    </w:tbl>
    <w:p w14:paraId="5AA5B9EF" w14:textId="77777777" w:rsidR="00F60301" w:rsidRPr="00F60301" w:rsidRDefault="00F60301" w:rsidP="00F60301">
      <w:pPr>
        <w:rPr>
          <w:rFonts w:eastAsia="Calibri" w:cs="Arial"/>
          <w:b/>
          <w:bCs/>
          <w:sz w:val="22"/>
          <w:szCs w:val="22"/>
        </w:rPr>
      </w:pPr>
    </w:p>
    <w:p w14:paraId="22DAEFDA" w14:textId="241A677C" w:rsidR="00F60301" w:rsidRPr="00F60301" w:rsidRDefault="00F60301" w:rsidP="00F60301">
      <w:pPr>
        <w:rPr>
          <w:rFonts w:eastAsia="Calibri" w:cs="Arial"/>
          <w:sz w:val="22"/>
          <w:szCs w:val="22"/>
        </w:rPr>
      </w:pPr>
      <w:r w:rsidRPr="00F60301">
        <w:rPr>
          <w:rFonts w:eastAsia="Calibri" w:cs="Arial"/>
          <w:sz w:val="22"/>
          <w:szCs w:val="22"/>
        </w:rPr>
        <w:t xml:space="preserve">The total grant funding applied for is </w:t>
      </w:r>
      <w:r w:rsidRPr="00F60301">
        <w:rPr>
          <w:rFonts w:eastAsia="Calibri" w:cs="Arial"/>
          <w:sz w:val="22"/>
          <w:szCs w:val="22"/>
          <w:u w:val="single"/>
        </w:rPr>
        <w:t>£1,413,075</w:t>
      </w:r>
      <w:r w:rsidR="00DB0944" w:rsidRPr="00DF0C00">
        <w:rPr>
          <w:rFonts w:eastAsia="Calibri" w:cs="Arial"/>
          <w:sz w:val="22"/>
          <w:szCs w:val="22"/>
          <w:u w:val="single"/>
        </w:rPr>
        <w:t xml:space="preserve">. </w:t>
      </w:r>
    </w:p>
    <w:p w14:paraId="4430327F" w14:textId="77777777" w:rsidR="00F60301" w:rsidRPr="00F60301" w:rsidRDefault="00F60301" w:rsidP="00F60301">
      <w:pPr>
        <w:rPr>
          <w:rFonts w:eastAsia="Calibri" w:cs="Arial"/>
          <w:sz w:val="22"/>
          <w:szCs w:val="22"/>
        </w:rPr>
      </w:pPr>
    </w:p>
    <w:p w14:paraId="76F80630" w14:textId="387D195E" w:rsidR="00F60301" w:rsidRPr="00F60301" w:rsidRDefault="00F60301" w:rsidP="00F60301">
      <w:pPr>
        <w:rPr>
          <w:rFonts w:eastAsia="Calibri" w:cs="Arial"/>
          <w:b/>
          <w:bCs/>
          <w:sz w:val="22"/>
          <w:szCs w:val="22"/>
        </w:rPr>
      </w:pPr>
      <w:r w:rsidRPr="00F60301">
        <w:rPr>
          <w:rFonts w:eastAsia="Calibri" w:cs="Arial"/>
          <w:b/>
          <w:bCs/>
          <w:sz w:val="22"/>
          <w:szCs w:val="22"/>
        </w:rPr>
        <w:t xml:space="preserve">Applications 3 -7 </w:t>
      </w:r>
      <w:r w:rsidR="00DB2598" w:rsidRPr="00DF0C00">
        <w:rPr>
          <w:rFonts w:eastAsia="Calibri" w:cs="Arial"/>
          <w:b/>
          <w:bCs/>
          <w:sz w:val="22"/>
          <w:szCs w:val="22"/>
        </w:rPr>
        <w:t>(</w:t>
      </w:r>
      <w:r w:rsidR="00464D20">
        <w:rPr>
          <w:rFonts w:eastAsia="Calibri" w:cs="Arial"/>
          <w:b/>
          <w:bCs/>
          <w:sz w:val="22"/>
          <w:szCs w:val="22"/>
        </w:rPr>
        <w:t xml:space="preserve">proposed </w:t>
      </w:r>
      <w:r w:rsidR="00DB2598" w:rsidRPr="00DF0C00">
        <w:rPr>
          <w:rFonts w:eastAsia="Calibri" w:cs="Arial"/>
          <w:b/>
          <w:bCs/>
          <w:sz w:val="22"/>
          <w:szCs w:val="22"/>
        </w:rPr>
        <w:t xml:space="preserve">delivery via Cambridgeshire </w:t>
      </w:r>
      <w:r w:rsidR="00DF0C00">
        <w:rPr>
          <w:rFonts w:eastAsia="Calibri" w:cs="Arial"/>
          <w:b/>
          <w:bCs/>
          <w:sz w:val="22"/>
          <w:szCs w:val="22"/>
        </w:rPr>
        <w:t>County Council procured Energy Services framework)</w:t>
      </w:r>
    </w:p>
    <w:p w14:paraId="2412512E" w14:textId="77777777" w:rsidR="00F60301" w:rsidRPr="00F60301" w:rsidRDefault="00F60301" w:rsidP="00F60301">
      <w:pPr>
        <w:rPr>
          <w:rFonts w:eastAsia="Calibri" w:cs="Arial"/>
          <w:b/>
          <w:bCs/>
          <w:sz w:val="22"/>
          <w:szCs w:val="22"/>
        </w:rPr>
      </w:pPr>
    </w:p>
    <w:tbl>
      <w:tblPr>
        <w:tblW w:w="0" w:type="auto"/>
        <w:tblCellMar>
          <w:left w:w="0" w:type="dxa"/>
          <w:right w:w="0" w:type="dxa"/>
        </w:tblCellMar>
        <w:tblLook w:val="04A0" w:firstRow="1" w:lastRow="0" w:firstColumn="1" w:lastColumn="0" w:noHBand="0" w:noVBand="1"/>
      </w:tblPr>
      <w:tblGrid>
        <w:gridCol w:w="2855"/>
        <w:gridCol w:w="2840"/>
        <w:gridCol w:w="2830"/>
      </w:tblGrid>
      <w:tr w:rsidR="00F60301" w:rsidRPr="00F60301" w14:paraId="25AB6185" w14:textId="77777777" w:rsidTr="00F60301">
        <w:tc>
          <w:tcPr>
            <w:tcW w:w="311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DC1215B" w14:textId="77777777" w:rsidR="00F60301" w:rsidRPr="00F60301" w:rsidRDefault="00F60301" w:rsidP="00F60301">
            <w:pPr>
              <w:rPr>
                <w:rFonts w:eastAsia="Calibri" w:cs="Arial"/>
                <w:sz w:val="22"/>
                <w:szCs w:val="22"/>
              </w:rPr>
            </w:pPr>
            <w:r w:rsidRPr="00F60301">
              <w:rPr>
                <w:rFonts w:eastAsia="Calibri" w:cs="Arial"/>
                <w:sz w:val="22"/>
                <w:szCs w:val="22"/>
              </w:rPr>
              <w:t xml:space="preserve">Harrow Arts Centre </w:t>
            </w:r>
          </w:p>
        </w:tc>
        <w:tc>
          <w:tcPr>
            <w:tcW w:w="31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529A37C" w14:textId="77777777" w:rsidR="00F60301" w:rsidRPr="00F60301" w:rsidRDefault="00F60301" w:rsidP="00F60301">
            <w:pPr>
              <w:rPr>
                <w:rFonts w:eastAsia="Calibri" w:cs="Arial"/>
                <w:sz w:val="22"/>
                <w:szCs w:val="22"/>
              </w:rPr>
            </w:pPr>
            <w:r w:rsidRPr="00F60301">
              <w:rPr>
                <w:rFonts w:eastAsia="Calibri" w:cs="Arial"/>
                <w:sz w:val="22"/>
                <w:szCs w:val="22"/>
              </w:rPr>
              <w:t xml:space="preserve">ASHP, BMS System, Solar PV, Pipework Insulation </w:t>
            </w:r>
          </w:p>
        </w:tc>
        <w:tc>
          <w:tcPr>
            <w:tcW w:w="31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971969A" w14:textId="77777777" w:rsidR="00F60301" w:rsidRPr="00F60301" w:rsidRDefault="00F60301" w:rsidP="00F60301">
            <w:pPr>
              <w:rPr>
                <w:rFonts w:eastAsia="Calibri" w:cs="Arial"/>
                <w:sz w:val="22"/>
                <w:szCs w:val="22"/>
              </w:rPr>
            </w:pPr>
            <w:r w:rsidRPr="00F60301">
              <w:rPr>
                <w:rFonts w:eastAsia="Calibri" w:cs="Arial"/>
                <w:sz w:val="22"/>
                <w:szCs w:val="22"/>
              </w:rPr>
              <w:t>£466,549</w:t>
            </w:r>
          </w:p>
        </w:tc>
      </w:tr>
      <w:tr w:rsidR="00F60301" w:rsidRPr="00F60301" w14:paraId="0331EB3F" w14:textId="77777777" w:rsidTr="00F60301">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AC90169" w14:textId="77777777" w:rsidR="00F60301" w:rsidRPr="00F60301" w:rsidRDefault="00F60301" w:rsidP="00F60301">
            <w:pPr>
              <w:rPr>
                <w:rFonts w:eastAsia="Calibri" w:cs="Arial"/>
                <w:sz w:val="22"/>
                <w:szCs w:val="22"/>
              </w:rPr>
            </w:pPr>
            <w:r w:rsidRPr="00F60301">
              <w:rPr>
                <w:rFonts w:eastAsia="Calibri" w:cs="Arial"/>
                <w:sz w:val="22"/>
                <w:szCs w:val="22"/>
              </w:rPr>
              <w:t xml:space="preserve">Whitmore High School </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4C47E7AB" w14:textId="77777777" w:rsidR="00F60301" w:rsidRPr="00F60301" w:rsidRDefault="00F60301" w:rsidP="00F60301">
            <w:pPr>
              <w:rPr>
                <w:rFonts w:eastAsia="Calibri" w:cs="Arial"/>
                <w:sz w:val="22"/>
                <w:szCs w:val="22"/>
              </w:rPr>
            </w:pPr>
            <w:r w:rsidRPr="00F60301">
              <w:rPr>
                <w:rFonts w:eastAsia="Calibri" w:cs="Arial"/>
                <w:sz w:val="22"/>
                <w:szCs w:val="22"/>
              </w:rPr>
              <w:t>ASHP, BMS System, Solar PV</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7D8F72BE" w14:textId="77777777" w:rsidR="00F60301" w:rsidRPr="00F60301" w:rsidRDefault="00F60301" w:rsidP="00F60301">
            <w:pPr>
              <w:rPr>
                <w:rFonts w:eastAsia="Calibri" w:cs="Arial"/>
                <w:sz w:val="22"/>
                <w:szCs w:val="22"/>
              </w:rPr>
            </w:pPr>
            <w:r w:rsidRPr="00F60301">
              <w:rPr>
                <w:rFonts w:eastAsia="Calibri" w:cs="Arial"/>
                <w:sz w:val="22"/>
                <w:szCs w:val="22"/>
              </w:rPr>
              <w:t>£449,160</w:t>
            </w:r>
          </w:p>
        </w:tc>
      </w:tr>
      <w:tr w:rsidR="00F60301" w:rsidRPr="00F60301" w14:paraId="1200443D" w14:textId="77777777" w:rsidTr="00F60301">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1A8C0E" w14:textId="77777777" w:rsidR="00F60301" w:rsidRPr="00F60301" w:rsidRDefault="00F60301" w:rsidP="00F60301">
            <w:pPr>
              <w:rPr>
                <w:rFonts w:eastAsia="Calibri" w:cs="Arial"/>
                <w:sz w:val="22"/>
                <w:szCs w:val="22"/>
              </w:rPr>
            </w:pPr>
            <w:r w:rsidRPr="00F60301">
              <w:rPr>
                <w:rFonts w:eastAsia="Calibri" w:cs="Arial"/>
                <w:sz w:val="22"/>
                <w:szCs w:val="22"/>
              </w:rPr>
              <w:t xml:space="preserve">Stag Lane School </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6E7BC974" w14:textId="77777777" w:rsidR="00F60301" w:rsidRPr="00F60301" w:rsidRDefault="00F60301" w:rsidP="00F60301">
            <w:pPr>
              <w:rPr>
                <w:rFonts w:eastAsia="Calibri" w:cs="Arial"/>
                <w:sz w:val="22"/>
                <w:szCs w:val="22"/>
              </w:rPr>
            </w:pPr>
            <w:r w:rsidRPr="00F60301">
              <w:rPr>
                <w:rFonts w:eastAsia="Calibri" w:cs="Arial"/>
                <w:sz w:val="22"/>
                <w:szCs w:val="22"/>
              </w:rPr>
              <w:t xml:space="preserve">ASHP, BMS, Solar, pipework insulation </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1DEC6C37" w14:textId="77777777" w:rsidR="00F60301" w:rsidRPr="00F60301" w:rsidRDefault="00F60301" w:rsidP="00F60301">
            <w:pPr>
              <w:rPr>
                <w:rFonts w:eastAsia="Calibri" w:cs="Arial"/>
                <w:sz w:val="22"/>
                <w:szCs w:val="22"/>
              </w:rPr>
            </w:pPr>
            <w:r w:rsidRPr="00F60301">
              <w:rPr>
                <w:rFonts w:eastAsia="Calibri" w:cs="Arial"/>
                <w:sz w:val="22"/>
                <w:szCs w:val="22"/>
              </w:rPr>
              <w:t>£313,257</w:t>
            </w:r>
          </w:p>
        </w:tc>
      </w:tr>
      <w:tr w:rsidR="00F60301" w:rsidRPr="00F60301" w14:paraId="24E33E65" w14:textId="77777777" w:rsidTr="00F60301">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468BDD" w14:textId="77777777" w:rsidR="00F60301" w:rsidRPr="00F60301" w:rsidRDefault="00F60301" w:rsidP="00F60301">
            <w:pPr>
              <w:rPr>
                <w:rFonts w:eastAsia="Calibri" w:cs="Arial"/>
                <w:sz w:val="22"/>
                <w:szCs w:val="22"/>
              </w:rPr>
            </w:pPr>
            <w:r w:rsidRPr="00F60301">
              <w:rPr>
                <w:rFonts w:eastAsia="Calibri" w:cs="Arial"/>
                <w:sz w:val="22"/>
                <w:szCs w:val="22"/>
              </w:rPr>
              <w:t>Pinner Park School</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40705D80" w14:textId="77777777" w:rsidR="00F60301" w:rsidRPr="00F60301" w:rsidRDefault="00F60301" w:rsidP="00F60301">
            <w:pPr>
              <w:rPr>
                <w:rFonts w:eastAsia="Calibri" w:cs="Arial"/>
                <w:sz w:val="22"/>
                <w:szCs w:val="22"/>
              </w:rPr>
            </w:pPr>
            <w:r w:rsidRPr="00F60301">
              <w:rPr>
                <w:rFonts w:eastAsia="Calibri" w:cs="Arial"/>
                <w:sz w:val="22"/>
                <w:szCs w:val="22"/>
              </w:rPr>
              <w:t>ASHP, BMS System, Pipework insulation, Solar PV</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31BFC487" w14:textId="77777777" w:rsidR="00F60301" w:rsidRPr="00F60301" w:rsidRDefault="00F60301" w:rsidP="00F60301">
            <w:pPr>
              <w:rPr>
                <w:rFonts w:eastAsia="Calibri" w:cs="Arial"/>
                <w:sz w:val="22"/>
                <w:szCs w:val="22"/>
              </w:rPr>
            </w:pPr>
            <w:r w:rsidRPr="00F60301">
              <w:rPr>
                <w:rFonts w:eastAsia="Calibri" w:cs="Arial"/>
                <w:sz w:val="22"/>
                <w:szCs w:val="22"/>
              </w:rPr>
              <w:t>£299,559</w:t>
            </w:r>
          </w:p>
        </w:tc>
      </w:tr>
      <w:tr w:rsidR="00F60301" w:rsidRPr="00F60301" w14:paraId="4D7FF58C" w14:textId="77777777" w:rsidTr="00F60301">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DD69E1" w14:textId="77777777" w:rsidR="00F60301" w:rsidRPr="00F60301" w:rsidRDefault="00F60301" w:rsidP="00F60301">
            <w:pPr>
              <w:rPr>
                <w:rFonts w:eastAsia="Calibri" w:cs="Arial"/>
                <w:sz w:val="22"/>
                <w:szCs w:val="22"/>
              </w:rPr>
            </w:pPr>
            <w:r w:rsidRPr="00F60301">
              <w:rPr>
                <w:rFonts w:eastAsia="Calibri" w:cs="Arial"/>
                <w:sz w:val="22"/>
                <w:szCs w:val="22"/>
              </w:rPr>
              <w:t>Whitchurch School</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1533B7A1" w14:textId="77777777" w:rsidR="00F60301" w:rsidRPr="00F60301" w:rsidRDefault="00F60301" w:rsidP="00F60301">
            <w:pPr>
              <w:rPr>
                <w:rFonts w:eastAsia="Calibri" w:cs="Arial"/>
                <w:sz w:val="22"/>
                <w:szCs w:val="22"/>
              </w:rPr>
            </w:pPr>
            <w:r w:rsidRPr="00F60301">
              <w:rPr>
                <w:rFonts w:eastAsia="Calibri" w:cs="Arial"/>
                <w:sz w:val="22"/>
                <w:szCs w:val="22"/>
              </w:rPr>
              <w:t>ASHP, BMS System, Pipework insulation, Solar PV</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7C185BA0" w14:textId="77777777" w:rsidR="00F60301" w:rsidRPr="00F60301" w:rsidRDefault="00F60301" w:rsidP="00F60301">
            <w:pPr>
              <w:rPr>
                <w:rFonts w:eastAsia="Calibri" w:cs="Arial"/>
                <w:sz w:val="22"/>
                <w:szCs w:val="22"/>
              </w:rPr>
            </w:pPr>
            <w:r w:rsidRPr="00F60301">
              <w:rPr>
                <w:rFonts w:eastAsia="Calibri" w:cs="Arial"/>
                <w:sz w:val="22"/>
                <w:szCs w:val="22"/>
              </w:rPr>
              <w:t>£350,140</w:t>
            </w:r>
          </w:p>
        </w:tc>
      </w:tr>
    </w:tbl>
    <w:p w14:paraId="40FBCF68" w14:textId="77777777" w:rsidR="00F60301" w:rsidRPr="00F60301" w:rsidRDefault="00F60301" w:rsidP="00F60301">
      <w:pPr>
        <w:rPr>
          <w:rFonts w:eastAsia="Calibri" w:cs="Arial"/>
          <w:b/>
          <w:bCs/>
          <w:sz w:val="22"/>
          <w:szCs w:val="22"/>
        </w:rPr>
      </w:pPr>
    </w:p>
    <w:p w14:paraId="4B8AEF10" w14:textId="3C423517" w:rsidR="00F60301" w:rsidRPr="00DF0C00" w:rsidRDefault="00F60301" w:rsidP="00F60301">
      <w:pPr>
        <w:rPr>
          <w:rFonts w:eastAsia="Calibri" w:cs="Arial"/>
          <w:sz w:val="22"/>
          <w:szCs w:val="22"/>
          <w:u w:val="single"/>
        </w:rPr>
      </w:pPr>
      <w:r w:rsidRPr="00F60301">
        <w:rPr>
          <w:rFonts w:eastAsia="Calibri" w:cs="Arial"/>
          <w:sz w:val="22"/>
          <w:szCs w:val="22"/>
        </w:rPr>
        <w:t xml:space="preserve">The total grant funding </w:t>
      </w:r>
      <w:r w:rsidR="00336DCE" w:rsidRPr="00DF0C00">
        <w:rPr>
          <w:rFonts w:eastAsia="Calibri" w:cs="Arial"/>
          <w:sz w:val="22"/>
          <w:szCs w:val="22"/>
        </w:rPr>
        <w:t xml:space="preserve">applied for </w:t>
      </w:r>
      <w:r w:rsidR="00DB0944" w:rsidRPr="00DF0C00">
        <w:rPr>
          <w:rFonts w:eastAsia="Calibri" w:cs="Arial"/>
          <w:sz w:val="22"/>
          <w:szCs w:val="22"/>
        </w:rPr>
        <w:t xml:space="preserve">applications 3 to 7 is </w:t>
      </w:r>
      <w:r w:rsidRPr="00F60301">
        <w:rPr>
          <w:rFonts w:eastAsia="Calibri" w:cs="Arial"/>
          <w:sz w:val="22"/>
          <w:szCs w:val="22"/>
          <w:u w:val="single"/>
        </w:rPr>
        <w:t>£1,878,665.</w:t>
      </w:r>
    </w:p>
    <w:p w14:paraId="4B94BA99" w14:textId="23C7693C" w:rsidR="00DB0944" w:rsidRPr="00DF0C00" w:rsidRDefault="00DB0944" w:rsidP="00F60301">
      <w:pPr>
        <w:rPr>
          <w:rFonts w:eastAsia="Calibri" w:cs="Arial"/>
          <w:sz w:val="22"/>
          <w:szCs w:val="22"/>
          <w:u w:val="single"/>
        </w:rPr>
      </w:pPr>
    </w:p>
    <w:p w14:paraId="341CDA9F" w14:textId="51FBC59A" w:rsidR="00DB0944" w:rsidRPr="00DF0C00" w:rsidRDefault="00DB0944" w:rsidP="00F60301">
      <w:pPr>
        <w:rPr>
          <w:rFonts w:eastAsia="Calibri" w:cs="Arial"/>
          <w:sz w:val="22"/>
          <w:szCs w:val="22"/>
          <w:u w:val="single"/>
        </w:rPr>
      </w:pPr>
    </w:p>
    <w:p w14:paraId="42D8757E" w14:textId="052046BB" w:rsidR="00DB0944" w:rsidRPr="00DF0C00" w:rsidRDefault="00DB0944" w:rsidP="00F60301">
      <w:pPr>
        <w:rPr>
          <w:rFonts w:eastAsia="Calibri" w:cs="Arial"/>
          <w:sz w:val="22"/>
          <w:szCs w:val="22"/>
          <w:u w:val="single"/>
        </w:rPr>
      </w:pPr>
    </w:p>
    <w:p w14:paraId="42463340" w14:textId="5BAADBE4" w:rsidR="00DB0944" w:rsidRPr="00F60301" w:rsidRDefault="00DB0944" w:rsidP="00F60301">
      <w:pPr>
        <w:rPr>
          <w:rFonts w:eastAsia="Calibri" w:cs="Arial"/>
          <w:szCs w:val="24"/>
        </w:rPr>
      </w:pPr>
      <w:r w:rsidRPr="00DF0C00">
        <w:rPr>
          <w:rFonts w:eastAsia="Calibri" w:cs="Arial"/>
          <w:szCs w:val="24"/>
        </w:rPr>
        <w:t xml:space="preserve">TOTAL VALUE OF ALL </w:t>
      </w:r>
      <w:r w:rsidR="00DF0C00" w:rsidRPr="00DF0C00">
        <w:rPr>
          <w:rFonts w:eastAsia="Calibri" w:cs="Arial"/>
          <w:szCs w:val="24"/>
        </w:rPr>
        <w:t xml:space="preserve">APPLICATIONS = </w:t>
      </w:r>
      <w:bookmarkStart w:id="3" w:name="_Hlk63753189"/>
      <w:r w:rsidR="00DA7393" w:rsidRPr="00D71326">
        <w:rPr>
          <w:rFonts w:eastAsia="Calibri" w:cs="Arial"/>
          <w:b/>
          <w:bCs/>
          <w:szCs w:val="24"/>
          <w:u w:val="single"/>
        </w:rPr>
        <w:t>£3,895,312</w:t>
      </w:r>
    </w:p>
    <w:bookmarkEnd w:id="3"/>
    <w:p w14:paraId="0B891F24" w14:textId="77777777" w:rsidR="00F60301" w:rsidRPr="00DF0C00" w:rsidRDefault="00F60301" w:rsidP="00F60301">
      <w:pPr>
        <w:pStyle w:val="Infotext"/>
        <w:tabs>
          <w:tab w:val="left" w:pos="3768"/>
          <w:tab w:val="left" w:pos="4315"/>
        </w:tabs>
        <w:rPr>
          <w:rFonts w:cs="Arial"/>
          <w:b/>
          <w:bCs/>
          <w:iCs/>
          <w:sz w:val="24"/>
          <w:szCs w:val="24"/>
          <w:lang w:eastAsia="en-GB"/>
        </w:rPr>
      </w:pPr>
    </w:p>
    <w:sectPr w:rsidR="00F60301" w:rsidRPr="00DF0C00" w:rsidSect="00596DDC">
      <w:headerReference w:type="default" r:id="rId14"/>
      <w:footerReference w:type="default" r:id="rId15"/>
      <w:type w:val="continuous"/>
      <w:pgSz w:w="11909" w:h="16834" w:code="9"/>
      <w:pgMar w:top="864" w:right="1800" w:bottom="1440" w:left="1800" w:header="100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4C152C" w14:textId="77777777" w:rsidR="00966CB7" w:rsidRDefault="00966CB7">
      <w:r>
        <w:separator/>
      </w:r>
    </w:p>
  </w:endnote>
  <w:endnote w:type="continuationSeparator" w:id="0">
    <w:p w14:paraId="1062FB4E" w14:textId="77777777" w:rsidR="00966CB7" w:rsidRDefault="00966C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
    <w:altName w:val="Arial Unicode MS"/>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E96B0E" w14:textId="77777777" w:rsidR="00391410" w:rsidRDefault="00391410" w:rsidP="00D4290D">
    <w:pPr>
      <w:pStyle w:val="Footer"/>
      <w:framePr w:wrap="around" w:vAnchor="text" w:hAnchor="margin" w:xAlign="right" w:y="1"/>
      <w:rPr>
        <w:rStyle w:val="PageNumber"/>
      </w:rPr>
    </w:pPr>
  </w:p>
  <w:p w14:paraId="33BCCDF4" w14:textId="77777777" w:rsidR="00391410" w:rsidRDefault="00391410" w:rsidP="00A1507D">
    <w:pPr>
      <w:pStyle w:val="Footer"/>
      <w:tabs>
        <w:tab w:val="clear" w:pos="4153"/>
        <w:tab w:val="clear" w:pos="8306"/>
      </w:tabs>
      <w:ind w:right="360"/>
      <w:jc w:val="right"/>
      <w:rPr>
        <w:rFonts w:cs="Arial"/>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506CC0" w14:textId="4604CBE8" w:rsidR="00A1507D" w:rsidRDefault="00A1507D" w:rsidP="00A1507D">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A95035" w14:textId="7BF1B0A7" w:rsidR="00391410" w:rsidRDefault="00391410" w:rsidP="00D4290D">
    <w:pPr>
      <w:pStyle w:val="Footer"/>
      <w:framePr w:wrap="around" w:vAnchor="text" w:hAnchor="margin" w:xAlign="right" w:y="1"/>
      <w:rPr>
        <w:rStyle w:val="PageNumber"/>
      </w:rPr>
    </w:pPr>
  </w:p>
  <w:p w14:paraId="3E76BBEC" w14:textId="77777777" w:rsidR="00391410" w:rsidRDefault="00391410" w:rsidP="00A1507D">
    <w:pPr>
      <w:pStyle w:val="Footer"/>
      <w:tabs>
        <w:tab w:val="clear" w:pos="4153"/>
        <w:tab w:val="clear" w:pos="8306"/>
      </w:tabs>
      <w:ind w:right="360"/>
      <w:rPr>
        <w:rFonts w:cs="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D750BC" w14:textId="77777777" w:rsidR="00966CB7" w:rsidRDefault="00966CB7">
      <w:r>
        <w:separator/>
      </w:r>
    </w:p>
  </w:footnote>
  <w:footnote w:type="continuationSeparator" w:id="0">
    <w:p w14:paraId="77845A36" w14:textId="77777777" w:rsidR="00966CB7" w:rsidRDefault="00966C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C575A1" w14:textId="77777777" w:rsidR="00391410" w:rsidRDefault="003914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77F52"/>
    <w:multiLevelType w:val="hybridMultilevel"/>
    <w:tmpl w:val="7F72C69C"/>
    <w:lvl w:ilvl="0" w:tplc="D73C90C0">
      <w:start w:val="1"/>
      <w:numFmt w:val="bullet"/>
      <w:lvlText w:val=""/>
      <w:lvlJc w:val="left"/>
      <w:pPr>
        <w:ind w:left="720" w:hanging="72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02651DDF"/>
    <w:multiLevelType w:val="hybridMultilevel"/>
    <w:tmpl w:val="60AC2D2E"/>
    <w:lvl w:ilvl="0" w:tplc="F8187620">
      <w:start w:val="1"/>
      <w:numFmt w:val="bullet"/>
      <w:lvlText w:val=""/>
      <w:lvlJc w:val="left"/>
      <w:pPr>
        <w:tabs>
          <w:tab w:val="num" w:pos="720"/>
        </w:tabs>
        <w:ind w:left="720" w:hanging="72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29D0196"/>
    <w:multiLevelType w:val="hybridMultilevel"/>
    <w:tmpl w:val="6BEEF422"/>
    <w:lvl w:ilvl="0" w:tplc="3CBC526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2AB165F"/>
    <w:multiLevelType w:val="hybridMultilevel"/>
    <w:tmpl w:val="DB40A302"/>
    <w:lvl w:ilvl="0" w:tplc="04090001">
      <w:start w:val="1"/>
      <w:numFmt w:val="bullet"/>
      <w:lvlText w:val=""/>
      <w:lvlJc w:val="left"/>
      <w:pPr>
        <w:tabs>
          <w:tab w:val="num" w:pos="720"/>
        </w:tabs>
        <w:ind w:left="720" w:hanging="360"/>
      </w:pPr>
      <w:rPr>
        <w:rFonts w:ascii="Symbol" w:hAnsi="Symbol" w:hint="default"/>
      </w:rPr>
    </w:lvl>
    <w:lvl w:ilvl="1" w:tplc="CCA20D82">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931680"/>
    <w:multiLevelType w:val="multilevel"/>
    <w:tmpl w:val="9CA4B60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BA01BFE"/>
    <w:multiLevelType w:val="hybridMultilevel"/>
    <w:tmpl w:val="43A8E00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256357"/>
    <w:multiLevelType w:val="multilevel"/>
    <w:tmpl w:val="884418E6"/>
    <w:lvl w:ilvl="0">
      <w:start w:val="1"/>
      <w:numFmt w:val="bullet"/>
      <w:lvlText w:val="-"/>
      <w:lvlJc w:val="left"/>
      <w:pPr>
        <w:tabs>
          <w:tab w:val="num" w:pos="1080"/>
        </w:tabs>
        <w:ind w:left="1080" w:hanging="360"/>
      </w:pPr>
      <w:rPr>
        <w:rFonts w:ascii="Arial" w:hAnsi="Arial" w:hint="default"/>
        <w:sz w:val="20"/>
      </w:rPr>
    </w:lvl>
    <w:lvl w:ilvl="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7" w15:restartNumberingAfterBreak="0">
    <w:nsid w:val="12E45D48"/>
    <w:multiLevelType w:val="hybridMultilevel"/>
    <w:tmpl w:val="B2CA8E74"/>
    <w:lvl w:ilvl="0" w:tplc="365A6E94">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6CD7165"/>
    <w:multiLevelType w:val="hybridMultilevel"/>
    <w:tmpl w:val="B37E7CEA"/>
    <w:lvl w:ilvl="0" w:tplc="29203C72">
      <w:start w:val="1"/>
      <w:numFmt w:val="lowerLetter"/>
      <w:lvlText w:val="%1."/>
      <w:lvlJc w:val="left"/>
      <w:pPr>
        <w:tabs>
          <w:tab w:val="num" w:pos="720"/>
        </w:tabs>
        <w:ind w:left="720" w:hanging="720"/>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A264D9D"/>
    <w:multiLevelType w:val="multilevel"/>
    <w:tmpl w:val="6EAA0CF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0BA3D06"/>
    <w:multiLevelType w:val="hybridMultilevel"/>
    <w:tmpl w:val="B7502E88"/>
    <w:lvl w:ilvl="0" w:tplc="08090001">
      <w:start w:val="1"/>
      <w:numFmt w:val="bullet"/>
      <w:lvlText w:val=""/>
      <w:lvlJc w:val="left"/>
      <w:pPr>
        <w:tabs>
          <w:tab w:val="num" w:pos="1080"/>
        </w:tabs>
        <w:ind w:left="1080" w:hanging="360"/>
      </w:pPr>
      <w:rPr>
        <w:rFonts w:ascii="Symbol" w:hAnsi="Symbol" w:hint="default"/>
      </w:rPr>
    </w:lvl>
    <w:lvl w:ilvl="1" w:tplc="A52E50A8">
      <w:start w:val="1"/>
      <w:numFmt w:val="bullet"/>
      <w:lvlText w:val=""/>
      <w:lvlJc w:val="left"/>
      <w:pPr>
        <w:tabs>
          <w:tab w:val="num" w:pos="-31680"/>
        </w:tabs>
        <w:ind w:left="720" w:hanging="720"/>
      </w:pPr>
      <w:rPr>
        <w:rFonts w:ascii="Symbol" w:hAnsi="Symbol"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8BD22AF"/>
    <w:multiLevelType w:val="hybridMultilevel"/>
    <w:tmpl w:val="BD389F1C"/>
    <w:lvl w:ilvl="0" w:tplc="1DAEDB42">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9B5A02"/>
    <w:multiLevelType w:val="hybridMultilevel"/>
    <w:tmpl w:val="8B52685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591E4C"/>
    <w:multiLevelType w:val="hybridMultilevel"/>
    <w:tmpl w:val="15D00DEC"/>
    <w:lvl w:ilvl="0" w:tplc="3EEA1D32">
      <w:numFmt w:val="bullet"/>
      <w:lvlText w:val=""/>
      <w:lvlJc w:val="left"/>
      <w:pPr>
        <w:tabs>
          <w:tab w:val="num" w:pos="-31680"/>
        </w:tabs>
        <w:ind w:left="720" w:hanging="72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5666A0"/>
    <w:multiLevelType w:val="hybridMultilevel"/>
    <w:tmpl w:val="B0F2CDCC"/>
    <w:lvl w:ilvl="0" w:tplc="04090001">
      <w:start w:val="1"/>
      <w:numFmt w:val="bullet"/>
      <w:lvlText w:val=""/>
      <w:lvlJc w:val="left"/>
      <w:pPr>
        <w:tabs>
          <w:tab w:val="num" w:pos="720"/>
        </w:tabs>
        <w:ind w:left="720" w:hanging="360"/>
      </w:pPr>
      <w:rPr>
        <w:rFonts w:ascii="Symbol" w:hAnsi="Symbol" w:hint="default"/>
      </w:rPr>
    </w:lvl>
    <w:lvl w:ilvl="1" w:tplc="04322C90">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2855901"/>
    <w:multiLevelType w:val="hybridMultilevel"/>
    <w:tmpl w:val="A9EAEC16"/>
    <w:lvl w:ilvl="0" w:tplc="A2449B4C">
      <w:start w:val="1"/>
      <w:numFmt w:val="decimal"/>
      <w:lvlText w:val="%1."/>
      <w:lvlJc w:val="left"/>
      <w:pPr>
        <w:tabs>
          <w:tab w:val="num" w:pos="-3168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36848A1"/>
    <w:multiLevelType w:val="hybridMultilevel"/>
    <w:tmpl w:val="0CB83962"/>
    <w:lvl w:ilvl="0" w:tplc="70607A78">
      <w:start w:val="1"/>
      <w:numFmt w:val="bullet"/>
      <w:lvlText w:val=""/>
      <w:lvlJc w:val="left"/>
      <w:pPr>
        <w:tabs>
          <w:tab w:val="num" w:pos="720"/>
        </w:tabs>
        <w:ind w:left="720" w:hanging="72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3DC3909"/>
    <w:multiLevelType w:val="hybridMultilevel"/>
    <w:tmpl w:val="A9162E52"/>
    <w:lvl w:ilvl="0" w:tplc="113ECF8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9860B04"/>
    <w:multiLevelType w:val="hybridMultilevel"/>
    <w:tmpl w:val="B38C9104"/>
    <w:lvl w:ilvl="0" w:tplc="0809000F">
      <w:start w:val="1"/>
      <w:numFmt w:val="decimal"/>
      <w:lvlText w:val="%1."/>
      <w:lvlJc w:val="left"/>
      <w:pPr>
        <w:tabs>
          <w:tab w:val="num" w:pos="720"/>
        </w:tabs>
        <w:ind w:left="720" w:hanging="360"/>
      </w:pPr>
      <w:rPr>
        <w:rFonts w:hint="default"/>
      </w:rPr>
    </w:lvl>
    <w:lvl w:ilvl="1" w:tplc="60422DA0">
      <w:start w:val="1"/>
      <w:numFmt w:val="bullet"/>
      <w:lvlText w:val=""/>
      <w:lvlJc w:val="left"/>
      <w:pPr>
        <w:tabs>
          <w:tab w:val="num" w:pos="-31680"/>
        </w:tabs>
        <w:ind w:left="1440" w:hanging="72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3BF2669F"/>
    <w:multiLevelType w:val="multilevel"/>
    <w:tmpl w:val="3E18A872"/>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D42420A"/>
    <w:multiLevelType w:val="multilevel"/>
    <w:tmpl w:val="5F70B13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E48189F"/>
    <w:multiLevelType w:val="hybridMultilevel"/>
    <w:tmpl w:val="525CECB6"/>
    <w:lvl w:ilvl="0" w:tplc="63065326">
      <w:start w:val="1"/>
      <w:numFmt w:val="lowerLetter"/>
      <w:lvlText w:val="(%1)"/>
      <w:lvlJc w:val="left"/>
      <w:pPr>
        <w:ind w:left="765" w:hanging="360"/>
      </w:pPr>
      <w:rPr>
        <w:rFonts w:hint="default"/>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22" w15:restartNumberingAfterBreak="0">
    <w:nsid w:val="3E7436A3"/>
    <w:multiLevelType w:val="hybridMultilevel"/>
    <w:tmpl w:val="9612C4A0"/>
    <w:lvl w:ilvl="0" w:tplc="61BA837E">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ED0745B"/>
    <w:multiLevelType w:val="hybridMultilevel"/>
    <w:tmpl w:val="551442B2"/>
    <w:lvl w:ilvl="0" w:tplc="08090001">
      <w:start w:val="1"/>
      <w:numFmt w:val="bullet"/>
      <w:lvlText w:val=""/>
      <w:lvlJc w:val="left"/>
      <w:pPr>
        <w:ind w:left="780" w:hanging="360"/>
      </w:pPr>
      <w:rPr>
        <w:rFonts w:ascii="Symbol" w:hAnsi="Symbol" w:hint="default"/>
        <w:color w:val="auto"/>
      </w:r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24" w15:restartNumberingAfterBreak="0">
    <w:nsid w:val="4086076C"/>
    <w:multiLevelType w:val="hybridMultilevel"/>
    <w:tmpl w:val="CD724460"/>
    <w:lvl w:ilvl="0" w:tplc="04090001">
      <w:start w:val="1"/>
      <w:numFmt w:val="bullet"/>
      <w:lvlText w:val=""/>
      <w:lvlJc w:val="left"/>
      <w:pPr>
        <w:tabs>
          <w:tab w:val="num" w:pos="720"/>
        </w:tabs>
        <w:ind w:left="720" w:hanging="360"/>
      </w:pPr>
      <w:rPr>
        <w:rFonts w:ascii="Symbol" w:hAnsi="Symbol" w:hint="default"/>
      </w:rPr>
    </w:lvl>
    <w:lvl w:ilvl="1" w:tplc="09123418">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09D1589"/>
    <w:multiLevelType w:val="hybridMultilevel"/>
    <w:tmpl w:val="D688C8DE"/>
    <w:lvl w:ilvl="0" w:tplc="04090001">
      <w:start w:val="1"/>
      <w:numFmt w:val="bullet"/>
      <w:lvlText w:val=""/>
      <w:lvlJc w:val="left"/>
      <w:pPr>
        <w:tabs>
          <w:tab w:val="num" w:pos="720"/>
        </w:tabs>
        <w:ind w:left="720" w:hanging="360"/>
      </w:pPr>
      <w:rPr>
        <w:rFonts w:ascii="Symbol" w:hAnsi="Symbol" w:hint="default"/>
      </w:rPr>
    </w:lvl>
    <w:lvl w:ilvl="1" w:tplc="5C9A0866">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215544A"/>
    <w:multiLevelType w:val="hybridMultilevel"/>
    <w:tmpl w:val="DFA42D32"/>
    <w:lvl w:ilvl="0" w:tplc="08090001">
      <w:start w:val="1"/>
      <w:numFmt w:val="bullet"/>
      <w:lvlText w:val=""/>
      <w:lvlJc w:val="left"/>
      <w:pPr>
        <w:tabs>
          <w:tab w:val="num" w:pos="1080"/>
        </w:tabs>
        <w:ind w:left="1080" w:hanging="360"/>
      </w:pPr>
      <w:rPr>
        <w:rFonts w:ascii="Symbol" w:hAnsi="Symbol" w:hint="default"/>
      </w:rPr>
    </w:lvl>
    <w:lvl w:ilvl="1" w:tplc="B5A8A74A">
      <w:start w:val="1"/>
      <w:numFmt w:val="bullet"/>
      <w:lvlText w:val=""/>
      <w:lvlJc w:val="left"/>
      <w:pPr>
        <w:tabs>
          <w:tab w:val="num" w:pos="-31680"/>
        </w:tabs>
        <w:ind w:left="720" w:hanging="720"/>
      </w:pPr>
      <w:rPr>
        <w:rFonts w:ascii="Symbol" w:hAnsi="Symbol"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45FD5009"/>
    <w:multiLevelType w:val="hybridMultilevel"/>
    <w:tmpl w:val="4AE472E2"/>
    <w:lvl w:ilvl="0" w:tplc="53AA2584">
      <w:start w:val="1"/>
      <w:numFmt w:val="bullet"/>
      <w:lvlText w:val=""/>
      <w:lvlJc w:val="left"/>
      <w:pPr>
        <w:tabs>
          <w:tab w:val="num" w:pos="360"/>
        </w:tabs>
        <w:ind w:left="360" w:hanging="360"/>
      </w:pPr>
      <w:rPr>
        <w:rFonts w:ascii="Wingdings" w:hAnsi="Wingdings" w:hint="default"/>
        <w:color w:val="3E007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03D7533"/>
    <w:multiLevelType w:val="hybridMultilevel"/>
    <w:tmpl w:val="903496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2EC6D2E"/>
    <w:multiLevelType w:val="hybridMultilevel"/>
    <w:tmpl w:val="B5AC3D28"/>
    <w:lvl w:ilvl="0" w:tplc="FB745912">
      <w:start w:val="1"/>
      <w:numFmt w:val="bullet"/>
      <w:lvlText w:val=""/>
      <w:lvlJc w:val="left"/>
      <w:pPr>
        <w:tabs>
          <w:tab w:val="num" w:pos="-31680"/>
        </w:tabs>
        <w:ind w:left="720" w:hanging="72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553170DE"/>
    <w:multiLevelType w:val="hybridMultilevel"/>
    <w:tmpl w:val="A800A568"/>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C172940"/>
    <w:multiLevelType w:val="hybridMultilevel"/>
    <w:tmpl w:val="598CC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0A5676D"/>
    <w:multiLevelType w:val="hybridMultilevel"/>
    <w:tmpl w:val="0F7EA04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2E77649"/>
    <w:multiLevelType w:val="hybridMultilevel"/>
    <w:tmpl w:val="61F0C866"/>
    <w:lvl w:ilvl="0" w:tplc="E10AFE6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67920F61"/>
    <w:multiLevelType w:val="hybridMultilevel"/>
    <w:tmpl w:val="75362D52"/>
    <w:lvl w:ilvl="0" w:tplc="04090001">
      <w:start w:val="1"/>
      <w:numFmt w:val="bullet"/>
      <w:lvlText w:val=""/>
      <w:lvlJc w:val="left"/>
      <w:pPr>
        <w:tabs>
          <w:tab w:val="num" w:pos="720"/>
        </w:tabs>
        <w:ind w:left="720" w:hanging="360"/>
      </w:pPr>
      <w:rPr>
        <w:rFonts w:ascii="Symbol" w:hAnsi="Symbol" w:hint="default"/>
      </w:rPr>
    </w:lvl>
    <w:lvl w:ilvl="1" w:tplc="6C1270D0">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8A95E59"/>
    <w:multiLevelType w:val="hybridMultilevel"/>
    <w:tmpl w:val="B0B22AD2"/>
    <w:lvl w:ilvl="0" w:tplc="39F03D06">
      <w:start w:val="1"/>
      <w:numFmt w:val="bullet"/>
      <w:lvlText w:val=""/>
      <w:lvlJc w:val="left"/>
      <w:pPr>
        <w:tabs>
          <w:tab w:val="num" w:pos="-31680"/>
        </w:tabs>
        <w:ind w:left="720" w:hanging="72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36" w15:restartNumberingAfterBreak="0">
    <w:nsid w:val="6A260D05"/>
    <w:multiLevelType w:val="multilevel"/>
    <w:tmpl w:val="7A18658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03C0918"/>
    <w:multiLevelType w:val="multilevel"/>
    <w:tmpl w:val="395E3ECC"/>
    <w:lvl w:ilvl="0">
      <w:start w:val="1"/>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73AC4EDA"/>
    <w:multiLevelType w:val="hybridMultilevel"/>
    <w:tmpl w:val="8012D90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68F0F1C"/>
    <w:multiLevelType w:val="hybridMultilevel"/>
    <w:tmpl w:val="3CECB3DA"/>
    <w:lvl w:ilvl="0" w:tplc="CF602002">
      <w:start w:val="1"/>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7D533014"/>
    <w:multiLevelType w:val="hybridMultilevel"/>
    <w:tmpl w:val="66622AC6"/>
    <w:lvl w:ilvl="0" w:tplc="04090001">
      <w:start w:val="1"/>
      <w:numFmt w:val="bullet"/>
      <w:lvlText w:val=""/>
      <w:lvlJc w:val="left"/>
      <w:pPr>
        <w:tabs>
          <w:tab w:val="num" w:pos="720"/>
        </w:tabs>
        <w:ind w:left="720" w:hanging="360"/>
      </w:pPr>
      <w:rPr>
        <w:rFonts w:ascii="Symbol" w:hAnsi="Symbol" w:hint="default"/>
      </w:rPr>
    </w:lvl>
    <w:lvl w:ilvl="1" w:tplc="C5526EF2">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D707DB5"/>
    <w:multiLevelType w:val="hybridMultilevel"/>
    <w:tmpl w:val="DC30D536"/>
    <w:lvl w:ilvl="0" w:tplc="E5BA9022">
      <w:start w:val="1"/>
      <w:numFmt w:val="bullet"/>
      <w:lvlText w:val=""/>
      <w:lvlJc w:val="left"/>
      <w:pPr>
        <w:ind w:left="720" w:hanging="72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ECF2AEE"/>
    <w:multiLevelType w:val="hybridMultilevel"/>
    <w:tmpl w:val="46906B5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8"/>
  </w:num>
  <w:num w:numId="3">
    <w:abstractNumId w:val="26"/>
  </w:num>
  <w:num w:numId="4">
    <w:abstractNumId w:val="10"/>
  </w:num>
  <w:num w:numId="5">
    <w:abstractNumId w:val="11"/>
  </w:num>
  <w:num w:numId="6">
    <w:abstractNumId w:val="22"/>
  </w:num>
  <w:num w:numId="7">
    <w:abstractNumId w:val="35"/>
  </w:num>
  <w:num w:numId="8">
    <w:abstractNumId w:val="13"/>
  </w:num>
  <w:num w:numId="9">
    <w:abstractNumId w:val="40"/>
  </w:num>
  <w:num w:numId="10">
    <w:abstractNumId w:val="34"/>
  </w:num>
  <w:num w:numId="11">
    <w:abstractNumId w:val="14"/>
  </w:num>
  <w:num w:numId="12">
    <w:abstractNumId w:val="3"/>
  </w:num>
  <w:num w:numId="13">
    <w:abstractNumId w:val="24"/>
  </w:num>
  <w:num w:numId="14">
    <w:abstractNumId w:val="25"/>
  </w:num>
  <w:num w:numId="15">
    <w:abstractNumId w:val="38"/>
  </w:num>
  <w:num w:numId="1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23"/>
  </w:num>
  <w:num w:numId="19">
    <w:abstractNumId w:val="1"/>
  </w:num>
  <w:num w:numId="20">
    <w:abstractNumId w:val="29"/>
  </w:num>
  <w:num w:numId="21">
    <w:abstractNumId w:val="16"/>
  </w:num>
  <w:num w:numId="22">
    <w:abstractNumId w:val="8"/>
  </w:num>
  <w:num w:numId="23">
    <w:abstractNumId w:val="31"/>
  </w:num>
  <w:num w:numId="24">
    <w:abstractNumId w:val="27"/>
  </w:num>
  <w:num w:numId="25">
    <w:abstractNumId w:val="28"/>
  </w:num>
  <w:num w:numId="26">
    <w:abstractNumId w:val="6"/>
  </w:num>
  <w:num w:numId="27">
    <w:abstractNumId w:val="41"/>
  </w:num>
  <w:num w:numId="28">
    <w:abstractNumId w:val="7"/>
  </w:num>
  <w:num w:numId="29">
    <w:abstractNumId w:val="32"/>
  </w:num>
  <w:num w:numId="30">
    <w:abstractNumId w:val="42"/>
  </w:num>
  <w:num w:numId="31">
    <w:abstractNumId w:val="30"/>
  </w:num>
  <w:num w:numId="32">
    <w:abstractNumId w:val="5"/>
  </w:num>
  <w:num w:numId="33">
    <w:abstractNumId w:val="12"/>
  </w:num>
  <w:num w:numId="34">
    <w:abstractNumId w:val="37"/>
  </w:num>
  <w:num w:numId="35">
    <w:abstractNumId w:val="33"/>
  </w:num>
  <w:num w:numId="36">
    <w:abstractNumId w:val="2"/>
  </w:num>
  <w:num w:numId="37">
    <w:abstractNumId w:val="21"/>
  </w:num>
  <w:num w:numId="38">
    <w:abstractNumId w:val="9"/>
  </w:num>
  <w:num w:numId="39">
    <w:abstractNumId w:val="4"/>
  </w:num>
  <w:num w:numId="40">
    <w:abstractNumId w:val="36"/>
  </w:num>
  <w:num w:numId="41">
    <w:abstractNumId w:val="39"/>
  </w:num>
  <w:num w:numId="42">
    <w:abstractNumId w:val="19"/>
  </w:num>
  <w:num w:numId="43">
    <w:abstractNumId w:val="20"/>
  </w:num>
  <w:num w:numId="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1F05"/>
    <w:rsid w:val="000079D8"/>
    <w:rsid w:val="000177C5"/>
    <w:rsid w:val="00021ED7"/>
    <w:rsid w:val="00024A02"/>
    <w:rsid w:val="000302DB"/>
    <w:rsid w:val="00042D20"/>
    <w:rsid w:val="00045999"/>
    <w:rsid w:val="000631C9"/>
    <w:rsid w:val="00065843"/>
    <w:rsid w:val="00065C33"/>
    <w:rsid w:val="000717A8"/>
    <w:rsid w:val="000759A3"/>
    <w:rsid w:val="00080FB3"/>
    <w:rsid w:val="000879E0"/>
    <w:rsid w:val="00090D24"/>
    <w:rsid w:val="00093B96"/>
    <w:rsid w:val="000B2A9D"/>
    <w:rsid w:val="000B44FE"/>
    <w:rsid w:val="000B4CF4"/>
    <w:rsid w:val="000B788F"/>
    <w:rsid w:val="000C11F4"/>
    <w:rsid w:val="000C3870"/>
    <w:rsid w:val="000C4A0F"/>
    <w:rsid w:val="000D6A16"/>
    <w:rsid w:val="000E12F7"/>
    <w:rsid w:val="000E2589"/>
    <w:rsid w:val="000F1F0C"/>
    <w:rsid w:val="001017CD"/>
    <w:rsid w:val="00104658"/>
    <w:rsid w:val="001112C4"/>
    <w:rsid w:val="00112682"/>
    <w:rsid w:val="00114AB9"/>
    <w:rsid w:val="00115683"/>
    <w:rsid w:val="00115DB5"/>
    <w:rsid w:val="001202B4"/>
    <w:rsid w:val="001219BA"/>
    <w:rsid w:val="001234FF"/>
    <w:rsid w:val="001278AB"/>
    <w:rsid w:val="00131D72"/>
    <w:rsid w:val="0013338C"/>
    <w:rsid w:val="00133D08"/>
    <w:rsid w:val="00145AA2"/>
    <w:rsid w:val="00154B0A"/>
    <w:rsid w:val="00160496"/>
    <w:rsid w:val="00162154"/>
    <w:rsid w:val="00184E97"/>
    <w:rsid w:val="001860D7"/>
    <w:rsid w:val="00192F10"/>
    <w:rsid w:val="00196F77"/>
    <w:rsid w:val="001A2B35"/>
    <w:rsid w:val="001A47EC"/>
    <w:rsid w:val="001A4C51"/>
    <w:rsid w:val="001A7E30"/>
    <w:rsid w:val="001C3899"/>
    <w:rsid w:val="001D0355"/>
    <w:rsid w:val="001D4052"/>
    <w:rsid w:val="001E347C"/>
    <w:rsid w:val="001F4BCF"/>
    <w:rsid w:val="00201018"/>
    <w:rsid w:val="0020172B"/>
    <w:rsid w:val="00202359"/>
    <w:rsid w:val="00203A44"/>
    <w:rsid w:val="00216CD5"/>
    <w:rsid w:val="00217A19"/>
    <w:rsid w:val="00221FAA"/>
    <w:rsid w:val="002268CA"/>
    <w:rsid w:val="002302AD"/>
    <w:rsid w:val="00237DF8"/>
    <w:rsid w:val="00240DC0"/>
    <w:rsid w:val="00247409"/>
    <w:rsid w:val="00247817"/>
    <w:rsid w:val="002559F3"/>
    <w:rsid w:val="0026065F"/>
    <w:rsid w:val="0026601B"/>
    <w:rsid w:val="0026621E"/>
    <w:rsid w:val="002700B4"/>
    <w:rsid w:val="00271544"/>
    <w:rsid w:val="00280501"/>
    <w:rsid w:val="002A0C19"/>
    <w:rsid w:val="002A0D64"/>
    <w:rsid w:val="002A278D"/>
    <w:rsid w:val="002A46A3"/>
    <w:rsid w:val="002A7D48"/>
    <w:rsid w:val="002B03B0"/>
    <w:rsid w:val="002B0746"/>
    <w:rsid w:val="002B1D75"/>
    <w:rsid w:val="002B595A"/>
    <w:rsid w:val="002B715B"/>
    <w:rsid w:val="002D6239"/>
    <w:rsid w:val="002E0757"/>
    <w:rsid w:val="002E3E31"/>
    <w:rsid w:val="002E4180"/>
    <w:rsid w:val="002E4761"/>
    <w:rsid w:val="002E600A"/>
    <w:rsid w:val="002F04DD"/>
    <w:rsid w:val="002F2628"/>
    <w:rsid w:val="002F2EC5"/>
    <w:rsid w:val="00301D74"/>
    <w:rsid w:val="00314009"/>
    <w:rsid w:val="00317C19"/>
    <w:rsid w:val="00321450"/>
    <w:rsid w:val="003251DB"/>
    <w:rsid w:val="003307A6"/>
    <w:rsid w:val="00334853"/>
    <w:rsid w:val="00334974"/>
    <w:rsid w:val="00336DCE"/>
    <w:rsid w:val="003417D7"/>
    <w:rsid w:val="003518D5"/>
    <w:rsid w:val="003607F0"/>
    <w:rsid w:val="00362E19"/>
    <w:rsid w:val="003720F3"/>
    <w:rsid w:val="0037578A"/>
    <w:rsid w:val="003820B7"/>
    <w:rsid w:val="00385BF8"/>
    <w:rsid w:val="00391410"/>
    <w:rsid w:val="0039500A"/>
    <w:rsid w:val="003A1E95"/>
    <w:rsid w:val="003A2330"/>
    <w:rsid w:val="003A3B9B"/>
    <w:rsid w:val="003B2EDB"/>
    <w:rsid w:val="003C35FC"/>
    <w:rsid w:val="003C5B5A"/>
    <w:rsid w:val="003F0E29"/>
    <w:rsid w:val="003F11D5"/>
    <w:rsid w:val="003F1DD0"/>
    <w:rsid w:val="003F5A62"/>
    <w:rsid w:val="003F6F8A"/>
    <w:rsid w:val="00421D58"/>
    <w:rsid w:val="00423CE6"/>
    <w:rsid w:val="004253FD"/>
    <w:rsid w:val="00453461"/>
    <w:rsid w:val="00462178"/>
    <w:rsid w:val="00462341"/>
    <w:rsid w:val="00464064"/>
    <w:rsid w:val="00464D20"/>
    <w:rsid w:val="00473049"/>
    <w:rsid w:val="004761E2"/>
    <w:rsid w:val="00476E9F"/>
    <w:rsid w:val="004804F4"/>
    <w:rsid w:val="004877F2"/>
    <w:rsid w:val="00492048"/>
    <w:rsid w:val="00492DF6"/>
    <w:rsid w:val="0049672B"/>
    <w:rsid w:val="004A772F"/>
    <w:rsid w:val="004D585C"/>
    <w:rsid w:val="004E4DDF"/>
    <w:rsid w:val="004F31DE"/>
    <w:rsid w:val="004F3D5D"/>
    <w:rsid w:val="0050491A"/>
    <w:rsid w:val="005052B6"/>
    <w:rsid w:val="00505370"/>
    <w:rsid w:val="0051109B"/>
    <w:rsid w:val="005127DB"/>
    <w:rsid w:val="005214FC"/>
    <w:rsid w:val="0052245B"/>
    <w:rsid w:val="00526E5E"/>
    <w:rsid w:val="00540F2C"/>
    <w:rsid w:val="00543863"/>
    <w:rsid w:val="00551306"/>
    <w:rsid w:val="00571274"/>
    <w:rsid w:val="005734D4"/>
    <w:rsid w:val="00574229"/>
    <w:rsid w:val="00575242"/>
    <w:rsid w:val="00576F7E"/>
    <w:rsid w:val="0059261C"/>
    <w:rsid w:val="00596DDC"/>
    <w:rsid w:val="005C0165"/>
    <w:rsid w:val="005C3450"/>
    <w:rsid w:val="005D2B07"/>
    <w:rsid w:val="005E0BAC"/>
    <w:rsid w:val="005F2432"/>
    <w:rsid w:val="005F3A30"/>
    <w:rsid w:val="005F76ED"/>
    <w:rsid w:val="0060182B"/>
    <w:rsid w:val="00601BFE"/>
    <w:rsid w:val="006025D7"/>
    <w:rsid w:val="00623D27"/>
    <w:rsid w:val="00630DCB"/>
    <w:rsid w:val="006321A6"/>
    <w:rsid w:val="00643B98"/>
    <w:rsid w:val="006477C4"/>
    <w:rsid w:val="006478D3"/>
    <w:rsid w:val="006571FC"/>
    <w:rsid w:val="0066400B"/>
    <w:rsid w:val="006749B0"/>
    <w:rsid w:val="0068011A"/>
    <w:rsid w:val="0068050E"/>
    <w:rsid w:val="006869D3"/>
    <w:rsid w:val="0068726F"/>
    <w:rsid w:val="006961A3"/>
    <w:rsid w:val="00696A56"/>
    <w:rsid w:val="00697A88"/>
    <w:rsid w:val="006A3706"/>
    <w:rsid w:val="006A37B1"/>
    <w:rsid w:val="006B4520"/>
    <w:rsid w:val="006C1B24"/>
    <w:rsid w:val="006C1B4D"/>
    <w:rsid w:val="006C3A02"/>
    <w:rsid w:val="006D27FE"/>
    <w:rsid w:val="006E66C0"/>
    <w:rsid w:val="0070136D"/>
    <w:rsid w:val="007019ED"/>
    <w:rsid w:val="007136CA"/>
    <w:rsid w:val="007142D7"/>
    <w:rsid w:val="00724B11"/>
    <w:rsid w:val="00724D96"/>
    <w:rsid w:val="0072548C"/>
    <w:rsid w:val="0072707E"/>
    <w:rsid w:val="0073219E"/>
    <w:rsid w:val="0074186B"/>
    <w:rsid w:val="0074446F"/>
    <w:rsid w:val="00757EEE"/>
    <w:rsid w:val="00760753"/>
    <w:rsid w:val="00771963"/>
    <w:rsid w:val="00776374"/>
    <w:rsid w:val="00777CC5"/>
    <w:rsid w:val="007938FF"/>
    <w:rsid w:val="007A184E"/>
    <w:rsid w:val="007A644B"/>
    <w:rsid w:val="007C3307"/>
    <w:rsid w:val="007D4F05"/>
    <w:rsid w:val="007E36DD"/>
    <w:rsid w:val="007E4732"/>
    <w:rsid w:val="007F0D07"/>
    <w:rsid w:val="007F2694"/>
    <w:rsid w:val="007F3C80"/>
    <w:rsid w:val="007F794A"/>
    <w:rsid w:val="00803D16"/>
    <w:rsid w:val="00806756"/>
    <w:rsid w:val="00807047"/>
    <w:rsid w:val="0081011A"/>
    <w:rsid w:val="008164CF"/>
    <w:rsid w:val="00820354"/>
    <w:rsid w:val="0083526E"/>
    <w:rsid w:val="0084204B"/>
    <w:rsid w:val="008433A7"/>
    <w:rsid w:val="00856154"/>
    <w:rsid w:val="00863D4B"/>
    <w:rsid w:val="00864465"/>
    <w:rsid w:val="0087019C"/>
    <w:rsid w:val="00871CE8"/>
    <w:rsid w:val="00872E2C"/>
    <w:rsid w:val="00875371"/>
    <w:rsid w:val="00883A94"/>
    <w:rsid w:val="0088546F"/>
    <w:rsid w:val="0089514C"/>
    <w:rsid w:val="008A233C"/>
    <w:rsid w:val="008A3496"/>
    <w:rsid w:val="008B27B2"/>
    <w:rsid w:val="008B2C80"/>
    <w:rsid w:val="008B44E1"/>
    <w:rsid w:val="008C1028"/>
    <w:rsid w:val="008D0BA8"/>
    <w:rsid w:val="008D13EF"/>
    <w:rsid w:val="008D5604"/>
    <w:rsid w:val="008D74C4"/>
    <w:rsid w:val="008F43CF"/>
    <w:rsid w:val="0090062C"/>
    <w:rsid w:val="00900EA5"/>
    <w:rsid w:val="0091239D"/>
    <w:rsid w:val="00927DAF"/>
    <w:rsid w:val="0093063F"/>
    <w:rsid w:val="00931684"/>
    <w:rsid w:val="00933D32"/>
    <w:rsid w:val="00937EC1"/>
    <w:rsid w:val="009404BD"/>
    <w:rsid w:val="009464E5"/>
    <w:rsid w:val="00946FBC"/>
    <w:rsid w:val="00950158"/>
    <w:rsid w:val="00963718"/>
    <w:rsid w:val="00963CAB"/>
    <w:rsid w:val="00966806"/>
    <w:rsid w:val="00966CB7"/>
    <w:rsid w:val="00970ABF"/>
    <w:rsid w:val="009743C4"/>
    <w:rsid w:val="00986BDA"/>
    <w:rsid w:val="009A2247"/>
    <w:rsid w:val="009B160B"/>
    <w:rsid w:val="009C0C1E"/>
    <w:rsid w:val="009C3F4E"/>
    <w:rsid w:val="009C7B01"/>
    <w:rsid w:val="009D105A"/>
    <w:rsid w:val="009D5369"/>
    <w:rsid w:val="009D5768"/>
    <w:rsid w:val="009E6953"/>
    <w:rsid w:val="009F1567"/>
    <w:rsid w:val="009F1ED7"/>
    <w:rsid w:val="009F66FD"/>
    <w:rsid w:val="00A0487D"/>
    <w:rsid w:val="00A055DF"/>
    <w:rsid w:val="00A07911"/>
    <w:rsid w:val="00A10B43"/>
    <w:rsid w:val="00A12C2A"/>
    <w:rsid w:val="00A1507D"/>
    <w:rsid w:val="00A1541D"/>
    <w:rsid w:val="00A24F3C"/>
    <w:rsid w:val="00A25D63"/>
    <w:rsid w:val="00A333A0"/>
    <w:rsid w:val="00A343EC"/>
    <w:rsid w:val="00A34F1D"/>
    <w:rsid w:val="00A351E8"/>
    <w:rsid w:val="00A431CF"/>
    <w:rsid w:val="00A462C8"/>
    <w:rsid w:val="00A47E59"/>
    <w:rsid w:val="00A53B54"/>
    <w:rsid w:val="00A5414E"/>
    <w:rsid w:val="00A563F5"/>
    <w:rsid w:val="00A6606C"/>
    <w:rsid w:val="00A6613F"/>
    <w:rsid w:val="00A71F05"/>
    <w:rsid w:val="00A770A2"/>
    <w:rsid w:val="00A80697"/>
    <w:rsid w:val="00A8716F"/>
    <w:rsid w:val="00A87502"/>
    <w:rsid w:val="00A95C66"/>
    <w:rsid w:val="00A96842"/>
    <w:rsid w:val="00AA0DED"/>
    <w:rsid w:val="00AA12C2"/>
    <w:rsid w:val="00AB06F3"/>
    <w:rsid w:val="00AC1211"/>
    <w:rsid w:val="00AC5B63"/>
    <w:rsid w:val="00AD2AF3"/>
    <w:rsid w:val="00AD3194"/>
    <w:rsid w:val="00AE209D"/>
    <w:rsid w:val="00AF511E"/>
    <w:rsid w:val="00AF72FE"/>
    <w:rsid w:val="00AF7999"/>
    <w:rsid w:val="00B01E73"/>
    <w:rsid w:val="00B05A02"/>
    <w:rsid w:val="00B068CF"/>
    <w:rsid w:val="00B254E2"/>
    <w:rsid w:val="00B26B1B"/>
    <w:rsid w:val="00B428B1"/>
    <w:rsid w:val="00B42EFB"/>
    <w:rsid w:val="00B44583"/>
    <w:rsid w:val="00B51108"/>
    <w:rsid w:val="00B54153"/>
    <w:rsid w:val="00B5468C"/>
    <w:rsid w:val="00B76F7A"/>
    <w:rsid w:val="00B775A2"/>
    <w:rsid w:val="00B91EC0"/>
    <w:rsid w:val="00B9613C"/>
    <w:rsid w:val="00BB0863"/>
    <w:rsid w:val="00BC22DC"/>
    <w:rsid w:val="00BC4A67"/>
    <w:rsid w:val="00BD4539"/>
    <w:rsid w:val="00BD79A0"/>
    <w:rsid w:val="00BE42CA"/>
    <w:rsid w:val="00BE4E07"/>
    <w:rsid w:val="00BF5031"/>
    <w:rsid w:val="00C00490"/>
    <w:rsid w:val="00C05AB5"/>
    <w:rsid w:val="00C06E8E"/>
    <w:rsid w:val="00C12C28"/>
    <w:rsid w:val="00C14079"/>
    <w:rsid w:val="00C16FC8"/>
    <w:rsid w:val="00C24848"/>
    <w:rsid w:val="00C31D67"/>
    <w:rsid w:val="00C35FE4"/>
    <w:rsid w:val="00C40FA6"/>
    <w:rsid w:val="00C4218F"/>
    <w:rsid w:val="00C43C01"/>
    <w:rsid w:val="00C54800"/>
    <w:rsid w:val="00C57FF4"/>
    <w:rsid w:val="00C65E73"/>
    <w:rsid w:val="00C737C8"/>
    <w:rsid w:val="00C75B39"/>
    <w:rsid w:val="00C83AE5"/>
    <w:rsid w:val="00C84140"/>
    <w:rsid w:val="00C8677E"/>
    <w:rsid w:val="00C900D2"/>
    <w:rsid w:val="00C9022C"/>
    <w:rsid w:val="00C9294A"/>
    <w:rsid w:val="00C97C12"/>
    <w:rsid w:val="00CA1D0F"/>
    <w:rsid w:val="00CA464F"/>
    <w:rsid w:val="00CB2644"/>
    <w:rsid w:val="00CC5BE2"/>
    <w:rsid w:val="00CD15A0"/>
    <w:rsid w:val="00CD56E6"/>
    <w:rsid w:val="00CD7F86"/>
    <w:rsid w:val="00CE20D2"/>
    <w:rsid w:val="00CE296E"/>
    <w:rsid w:val="00CE6507"/>
    <w:rsid w:val="00CF2C8C"/>
    <w:rsid w:val="00CF4FBB"/>
    <w:rsid w:val="00D00E3E"/>
    <w:rsid w:val="00D03A64"/>
    <w:rsid w:val="00D05149"/>
    <w:rsid w:val="00D12BFA"/>
    <w:rsid w:val="00D175B8"/>
    <w:rsid w:val="00D204F3"/>
    <w:rsid w:val="00D3348C"/>
    <w:rsid w:val="00D34545"/>
    <w:rsid w:val="00D4290D"/>
    <w:rsid w:val="00D43DAB"/>
    <w:rsid w:val="00D544DB"/>
    <w:rsid w:val="00D61B0D"/>
    <w:rsid w:val="00D624E5"/>
    <w:rsid w:val="00D71326"/>
    <w:rsid w:val="00D71633"/>
    <w:rsid w:val="00D720A2"/>
    <w:rsid w:val="00D7497D"/>
    <w:rsid w:val="00DA2C6F"/>
    <w:rsid w:val="00DA7393"/>
    <w:rsid w:val="00DB0944"/>
    <w:rsid w:val="00DB15FB"/>
    <w:rsid w:val="00DB1602"/>
    <w:rsid w:val="00DB2598"/>
    <w:rsid w:val="00DC656D"/>
    <w:rsid w:val="00DD7BD9"/>
    <w:rsid w:val="00DE3752"/>
    <w:rsid w:val="00DF0C00"/>
    <w:rsid w:val="00DF27BC"/>
    <w:rsid w:val="00DF3FA3"/>
    <w:rsid w:val="00E01D96"/>
    <w:rsid w:val="00E0247D"/>
    <w:rsid w:val="00E027E7"/>
    <w:rsid w:val="00E12B18"/>
    <w:rsid w:val="00E137F6"/>
    <w:rsid w:val="00E13AE1"/>
    <w:rsid w:val="00E37485"/>
    <w:rsid w:val="00E3795D"/>
    <w:rsid w:val="00E43079"/>
    <w:rsid w:val="00E436A9"/>
    <w:rsid w:val="00E44868"/>
    <w:rsid w:val="00E47ABF"/>
    <w:rsid w:val="00E5009C"/>
    <w:rsid w:val="00E52BD4"/>
    <w:rsid w:val="00E55DFD"/>
    <w:rsid w:val="00E57A93"/>
    <w:rsid w:val="00E71636"/>
    <w:rsid w:val="00E72894"/>
    <w:rsid w:val="00E74CCF"/>
    <w:rsid w:val="00E81AA6"/>
    <w:rsid w:val="00E86CFC"/>
    <w:rsid w:val="00EA0FC2"/>
    <w:rsid w:val="00EA1488"/>
    <w:rsid w:val="00EA3817"/>
    <w:rsid w:val="00EA6DB9"/>
    <w:rsid w:val="00EB42B2"/>
    <w:rsid w:val="00EB5486"/>
    <w:rsid w:val="00EC1332"/>
    <w:rsid w:val="00EC16C2"/>
    <w:rsid w:val="00EC3D93"/>
    <w:rsid w:val="00EC4DFF"/>
    <w:rsid w:val="00EC4F48"/>
    <w:rsid w:val="00EC6049"/>
    <w:rsid w:val="00ED001B"/>
    <w:rsid w:val="00ED16C0"/>
    <w:rsid w:val="00ED34B7"/>
    <w:rsid w:val="00EE2CA1"/>
    <w:rsid w:val="00EF0626"/>
    <w:rsid w:val="00EF3A1A"/>
    <w:rsid w:val="00EF4307"/>
    <w:rsid w:val="00F1059D"/>
    <w:rsid w:val="00F20AB0"/>
    <w:rsid w:val="00F5063E"/>
    <w:rsid w:val="00F60301"/>
    <w:rsid w:val="00F71291"/>
    <w:rsid w:val="00F7348B"/>
    <w:rsid w:val="00F7447A"/>
    <w:rsid w:val="00F94D38"/>
    <w:rsid w:val="00F962DF"/>
    <w:rsid w:val="00FC5097"/>
    <w:rsid w:val="00FC6B66"/>
    <w:rsid w:val="00FE29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B28BBA9"/>
  <w15:docId w15:val="{90E200F5-B0FD-43D8-95F0-8B301E35B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71F05"/>
    <w:rPr>
      <w:rFonts w:ascii="Arial" w:hAnsi="Arial"/>
      <w:sz w:val="24"/>
      <w:lang w:eastAsia="en-US"/>
    </w:rPr>
  </w:style>
  <w:style w:type="paragraph" w:styleId="Heading1">
    <w:name w:val="heading 1"/>
    <w:basedOn w:val="Heading2"/>
    <w:next w:val="Normal"/>
    <w:qFormat/>
    <w:rsid w:val="002302AD"/>
    <w:pPr>
      <w:spacing w:before="240" w:after="0"/>
      <w:outlineLvl w:val="0"/>
    </w:pPr>
    <w:rPr>
      <w:b w:val="0"/>
      <w:sz w:val="36"/>
    </w:rPr>
  </w:style>
  <w:style w:type="paragraph" w:styleId="Heading2">
    <w:name w:val="heading 2"/>
    <w:basedOn w:val="Normal"/>
    <w:next w:val="Normal"/>
    <w:qFormat/>
    <w:rsid w:val="00A6606C"/>
    <w:pPr>
      <w:spacing w:before="480" w:after="240"/>
      <w:outlineLvl w:val="1"/>
    </w:pPr>
    <w:rPr>
      <w:rFonts w:ascii="Arial Black" w:hAnsi="Arial Black" w:cs="Arial"/>
      <w:b/>
      <w:bCs/>
      <w:sz w:val="32"/>
      <w:szCs w:val="32"/>
    </w:rPr>
  </w:style>
  <w:style w:type="paragraph" w:styleId="Heading3">
    <w:name w:val="heading 3"/>
    <w:basedOn w:val="Normal"/>
    <w:next w:val="Normal"/>
    <w:qFormat/>
    <w:rsid w:val="00192F10"/>
    <w:pPr>
      <w:spacing w:before="240" w:after="240"/>
      <w:jc w:val="both"/>
      <w:outlineLvl w:val="2"/>
    </w:pPr>
    <w:rPr>
      <w:rFonts w:cs="Arial"/>
      <w:b/>
      <w:bCs/>
      <w:sz w:val="28"/>
      <w:szCs w:val="28"/>
    </w:rPr>
  </w:style>
  <w:style w:type="paragraph" w:styleId="Heading4">
    <w:name w:val="heading 4"/>
    <w:basedOn w:val="Normal"/>
    <w:next w:val="Normal"/>
    <w:qFormat/>
    <w:rsid w:val="00A71F05"/>
    <w:pPr>
      <w:keepNext/>
      <w:outlineLvl w:val="3"/>
    </w:pPr>
    <w:rPr>
      <w:rFonts w:cs="Arial"/>
      <w:b/>
    </w:rPr>
  </w:style>
  <w:style w:type="paragraph" w:styleId="Heading8">
    <w:name w:val="heading 8"/>
    <w:basedOn w:val="Normal"/>
    <w:next w:val="Normal"/>
    <w:qFormat/>
    <w:rsid w:val="00A71F05"/>
    <w:pPr>
      <w:spacing w:before="240" w:after="60"/>
      <w:outlineLvl w:val="7"/>
    </w:pPr>
    <w:rPr>
      <w:rFonts w:ascii="Times New Roman" w:hAnsi="Times New Roman"/>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71F05"/>
    <w:pPr>
      <w:tabs>
        <w:tab w:val="center" w:pos="4153"/>
        <w:tab w:val="right" w:pos="8306"/>
      </w:tabs>
    </w:pPr>
    <w:rPr>
      <w:szCs w:val="24"/>
      <w:lang w:val="en-US"/>
    </w:rPr>
  </w:style>
  <w:style w:type="paragraph" w:customStyle="1" w:styleId="Infotext">
    <w:name w:val="Info text"/>
    <w:basedOn w:val="Normal"/>
    <w:rsid w:val="00A71F05"/>
    <w:rPr>
      <w:sz w:val="28"/>
    </w:rPr>
  </w:style>
  <w:style w:type="character" w:styleId="FootnoteReference">
    <w:name w:val="footnote reference"/>
    <w:semiHidden/>
    <w:rsid w:val="00A71F05"/>
    <w:rPr>
      <w:vertAlign w:val="superscript"/>
    </w:rPr>
  </w:style>
  <w:style w:type="paragraph" w:customStyle="1" w:styleId="CharCharCharCharCharCharCharChar">
    <w:name w:val="Char Char Char Char Char Char Char Char"/>
    <w:basedOn w:val="Normal"/>
    <w:rsid w:val="00A71F05"/>
    <w:pPr>
      <w:spacing w:after="160" w:line="240" w:lineRule="exact"/>
    </w:pPr>
    <w:rPr>
      <w:rFonts w:ascii="Tahoma" w:hAnsi="Tahoma"/>
      <w:sz w:val="20"/>
      <w:lang w:eastAsia="en-GB"/>
    </w:rPr>
  </w:style>
  <w:style w:type="character" w:styleId="Hyperlink">
    <w:name w:val="Hyperlink"/>
    <w:rsid w:val="00A71F05"/>
    <w:rPr>
      <w:color w:val="0000FF"/>
      <w:u w:val="single"/>
    </w:rPr>
  </w:style>
  <w:style w:type="character" w:styleId="PageNumber">
    <w:name w:val="page number"/>
    <w:basedOn w:val="DefaultParagraphFont"/>
    <w:rsid w:val="00A71F05"/>
  </w:style>
  <w:style w:type="paragraph" w:styleId="Header">
    <w:name w:val="header"/>
    <w:basedOn w:val="Normal"/>
    <w:rsid w:val="001A47EC"/>
    <w:pPr>
      <w:tabs>
        <w:tab w:val="center" w:pos="4320"/>
        <w:tab w:val="right" w:pos="8640"/>
      </w:tabs>
    </w:pPr>
  </w:style>
  <w:style w:type="paragraph" w:styleId="BalloonText">
    <w:name w:val="Balloon Text"/>
    <w:basedOn w:val="Normal"/>
    <w:semiHidden/>
    <w:rsid w:val="00724D96"/>
    <w:rPr>
      <w:rFonts w:ascii="Tahoma" w:hAnsi="Tahoma" w:cs="Tahoma"/>
      <w:sz w:val="16"/>
      <w:szCs w:val="16"/>
    </w:rPr>
  </w:style>
  <w:style w:type="paragraph" w:customStyle="1" w:styleId="CharCharCharChar2">
    <w:name w:val="Char Char Char Char2"/>
    <w:basedOn w:val="Normal"/>
    <w:locked/>
    <w:rsid w:val="0091239D"/>
    <w:pPr>
      <w:spacing w:after="160" w:line="240" w:lineRule="exact"/>
    </w:pPr>
    <w:rPr>
      <w:rFonts w:ascii="Verdana" w:eastAsia="MS ??" w:hAnsi="Verdana" w:cs="Verdana"/>
      <w:sz w:val="20"/>
      <w:lang w:val="en-US"/>
    </w:rPr>
  </w:style>
  <w:style w:type="paragraph" w:customStyle="1" w:styleId="CharCharCharChar">
    <w:name w:val="Char Char Char Char"/>
    <w:basedOn w:val="Normal"/>
    <w:locked/>
    <w:rsid w:val="00BB0863"/>
    <w:pPr>
      <w:spacing w:after="160" w:line="240" w:lineRule="exact"/>
    </w:pPr>
    <w:rPr>
      <w:rFonts w:ascii="Verdana" w:hAnsi="Verdana"/>
      <w:sz w:val="20"/>
      <w:lang w:val="en-US"/>
    </w:rPr>
  </w:style>
  <w:style w:type="paragraph" w:styleId="FootnoteText">
    <w:name w:val="footnote text"/>
    <w:basedOn w:val="Normal"/>
    <w:semiHidden/>
    <w:rsid w:val="009404BD"/>
    <w:rPr>
      <w:rFonts w:ascii="Times New Roman" w:hAnsi="Times New Roman"/>
      <w:sz w:val="20"/>
    </w:rPr>
  </w:style>
  <w:style w:type="paragraph" w:styleId="NormalWeb">
    <w:name w:val="Normal (Web)"/>
    <w:basedOn w:val="Normal"/>
    <w:semiHidden/>
    <w:rsid w:val="009404BD"/>
    <w:pPr>
      <w:spacing w:before="100" w:beforeAutospacing="1" w:after="300"/>
    </w:pPr>
    <w:rPr>
      <w:rFonts w:ascii="Times New Roman" w:eastAsia="Calibri" w:hAnsi="Times New Roman"/>
      <w:szCs w:val="24"/>
      <w:lang w:val="en-US"/>
    </w:rPr>
  </w:style>
  <w:style w:type="table" w:styleId="TableGrid">
    <w:name w:val="Table Grid"/>
    <w:basedOn w:val="TableNormal"/>
    <w:rsid w:val="009404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2">
    <w:name w:val="Normal2"/>
    <w:rsid w:val="009404BD"/>
    <w:rPr>
      <w:rFonts w:ascii="Arial" w:hAnsi="Arial"/>
      <w:sz w:val="22"/>
      <w:lang w:val="en-US" w:eastAsia="en-US"/>
    </w:rPr>
  </w:style>
  <w:style w:type="paragraph" w:styleId="ListParagraph">
    <w:name w:val="List Paragraph"/>
    <w:basedOn w:val="Normal"/>
    <w:uiPriority w:val="34"/>
    <w:qFormat/>
    <w:rsid w:val="002268CA"/>
    <w:pPr>
      <w:ind w:left="720"/>
    </w:pPr>
  </w:style>
  <w:style w:type="character" w:styleId="Strong">
    <w:name w:val="Strong"/>
    <w:uiPriority w:val="22"/>
    <w:qFormat/>
    <w:rsid w:val="002268CA"/>
    <w:rPr>
      <w:b/>
      <w:bCs/>
    </w:rPr>
  </w:style>
  <w:style w:type="character" w:styleId="FollowedHyperlink">
    <w:name w:val="FollowedHyperlink"/>
    <w:rsid w:val="00CE20D2"/>
    <w:rPr>
      <w:color w:val="800080"/>
      <w:u w:val="single"/>
    </w:rPr>
  </w:style>
  <w:style w:type="character" w:styleId="UnresolvedMention">
    <w:name w:val="Unresolved Mention"/>
    <w:basedOn w:val="DefaultParagraphFont"/>
    <w:uiPriority w:val="99"/>
    <w:semiHidden/>
    <w:unhideWhenUsed/>
    <w:rsid w:val="001112C4"/>
    <w:rPr>
      <w:color w:val="605E5C"/>
      <w:shd w:val="clear" w:color="auto" w:fill="E1DFDD"/>
    </w:rPr>
  </w:style>
  <w:style w:type="character" w:styleId="CommentReference">
    <w:name w:val="annotation reference"/>
    <w:basedOn w:val="DefaultParagraphFont"/>
    <w:semiHidden/>
    <w:unhideWhenUsed/>
    <w:rsid w:val="001A7E30"/>
    <w:rPr>
      <w:sz w:val="16"/>
      <w:szCs w:val="16"/>
    </w:rPr>
  </w:style>
  <w:style w:type="paragraph" w:styleId="CommentText">
    <w:name w:val="annotation text"/>
    <w:basedOn w:val="Normal"/>
    <w:link w:val="CommentTextChar"/>
    <w:semiHidden/>
    <w:unhideWhenUsed/>
    <w:rsid w:val="001A7E30"/>
    <w:rPr>
      <w:sz w:val="20"/>
    </w:rPr>
  </w:style>
  <w:style w:type="character" w:customStyle="1" w:styleId="CommentTextChar">
    <w:name w:val="Comment Text Char"/>
    <w:basedOn w:val="DefaultParagraphFont"/>
    <w:link w:val="CommentText"/>
    <w:semiHidden/>
    <w:rsid w:val="001A7E30"/>
    <w:rPr>
      <w:rFonts w:ascii="Arial" w:hAnsi="Arial"/>
      <w:lang w:eastAsia="en-US"/>
    </w:rPr>
  </w:style>
  <w:style w:type="paragraph" w:styleId="CommentSubject">
    <w:name w:val="annotation subject"/>
    <w:basedOn w:val="CommentText"/>
    <w:next w:val="CommentText"/>
    <w:link w:val="CommentSubjectChar"/>
    <w:semiHidden/>
    <w:unhideWhenUsed/>
    <w:rsid w:val="001A7E30"/>
    <w:rPr>
      <w:b/>
      <w:bCs/>
    </w:rPr>
  </w:style>
  <w:style w:type="character" w:customStyle="1" w:styleId="CommentSubjectChar">
    <w:name w:val="Comment Subject Char"/>
    <w:basedOn w:val="CommentTextChar"/>
    <w:link w:val="CommentSubject"/>
    <w:semiHidden/>
    <w:rsid w:val="001A7E30"/>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276809">
      <w:bodyDiv w:val="1"/>
      <w:marLeft w:val="0"/>
      <w:marRight w:val="0"/>
      <w:marTop w:val="0"/>
      <w:marBottom w:val="0"/>
      <w:divBdr>
        <w:top w:val="none" w:sz="0" w:space="0" w:color="auto"/>
        <w:left w:val="none" w:sz="0" w:space="0" w:color="auto"/>
        <w:bottom w:val="none" w:sz="0" w:space="0" w:color="auto"/>
        <w:right w:val="none" w:sz="0" w:space="0" w:color="auto"/>
      </w:divBdr>
    </w:div>
    <w:div w:id="1541042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matthew.adams@harrow.gov.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4080336AF95647B3028E8783ACE5B3" ma:contentTypeVersion="11" ma:contentTypeDescription="Create a new document." ma:contentTypeScope="" ma:versionID="cefb6ece8964c3a943aa73798a96817e">
  <xsd:schema xmlns:xsd="http://www.w3.org/2001/XMLSchema" xmlns:xs="http://www.w3.org/2001/XMLSchema" xmlns:p="http://schemas.microsoft.com/office/2006/metadata/properties" xmlns:ns3="27de0dcf-7e4b-46ba-b260-4cfde2c33e74" xmlns:ns4="c6bdeb93-2270-4bf7-9e85-6688a4728aea" targetNamespace="http://schemas.microsoft.com/office/2006/metadata/properties" ma:root="true" ma:fieldsID="8cd6c1a1d42fa7e18ab3b540fce25066" ns3:_="" ns4:_="">
    <xsd:import namespace="27de0dcf-7e4b-46ba-b260-4cfde2c33e74"/>
    <xsd:import namespace="c6bdeb93-2270-4bf7-9e85-6688a4728ae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de0dcf-7e4b-46ba-b260-4cfde2c33e7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bdeb93-2270-4bf7-9e85-6688a4728ae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F78E1DB-07F2-49FF-9814-4476212637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de0dcf-7e4b-46ba-b260-4cfde2c33e74"/>
    <ds:schemaRef ds:uri="c6bdeb93-2270-4bf7-9e85-6688a4728a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F637B5-4307-4479-8D88-1FB43A5F3BCC}">
  <ds:schemaRefs>
    <ds:schemaRef ds:uri="http://schemas.microsoft.com/sharepoint/v3/contenttype/forms"/>
  </ds:schemaRefs>
</ds:datastoreItem>
</file>

<file path=customXml/itemProps3.xml><?xml version="1.0" encoding="utf-8"?>
<ds:datastoreItem xmlns:ds="http://schemas.openxmlformats.org/officeDocument/2006/customXml" ds:itemID="{E150AB72-AE82-4996-9EDC-7D8DBDE1812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9</Pages>
  <Words>2352</Words>
  <Characters>13408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TEMPLATE TO BE USED FOR KEY DECISION ONLY TO BE TAKEN BY THE LEADER</vt:lpstr>
    </vt:vector>
  </TitlesOfParts>
  <Company>Harrow Council</Company>
  <LinksUpToDate>false</LinksUpToDate>
  <CharactersWithSpaces>15729</CharactersWithSpaces>
  <SharedDoc>false</SharedDoc>
  <HLinks>
    <vt:vector size="48" baseType="variant">
      <vt:variant>
        <vt:i4>3211339</vt:i4>
      </vt:variant>
      <vt:variant>
        <vt:i4>21</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18</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15</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12</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9</vt:i4>
      </vt:variant>
      <vt:variant>
        <vt:i4>0</vt:i4>
      </vt:variant>
      <vt:variant>
        <vt:i4>5</vt:i4>
      </vt:variant>
      <vt:variant>
        <vt:lpwstr>https://harrowhub.harrow.gov.uk/downloads/file/9714/committee_report_templates_-_implications_guidance</vt:lpwstr>
      </vt:variant>
      <vt:variant>
        <vt:lpwstr/>
      </vt:variant>
      <vt:variant>
        <vt:i4>1376256</vt:i4>
      </vt:variant>
      <vt:variant>
        <vt:i4>6</vt:i4>
      </vt:variant>
      <vt:variant>
        <vt:i4>0</vt:i4>
      </vt:variant>
      <vt:variant>
        <vt:i4>5</vt:i4>
      </vt:variant>
      <vt:variant>
        <vt:lpwstr>https://harrowhub.harrow.gov.uk/downloads/file/9180/confirmation_of_report_urgency_for_ph_report</vt:lpwstr>
      </vt:variant>
      <vt:variant>
        <vt:lpwstr/>
      </vt:variant>
      <vt:variant>
        <vt:i4>6160451</vt:i4>
      </vt:variant>
      <vt:variant>
        <vt:i4>3</vt:i4>
      </vt:variant>
      <vt:variant>
        <vt:i4>0</vt:i4>
      </vt:variant>
      <vt:variant>
        <vt:i4>5</vt:i4>
      </vt:variant>
      <vt:variant>
        <vt:lpwstr>http://moderngov/documents/s153716/031 Part 4D Executive Procedure Rules.pdf</vt:lpwstr>
      </vt:variant>
      <vt:variant>
        <vt:lpwstr/>
      </vt:variant>
      <vt:variant>
        <vt:i4>3014742</vt:i4>
      </vt:variant>
      <vt:variant>
        <vt:i4>0</vt:i4>
      </vt:variant>
      <vt:variant>
        <vt:i4>0</vt:i4>
      </vt:variant>
      <vt:variant>
        <vt:i4>5</vt:i4>
      </vt:variant>
      <vt:variant>
        <vt:lpwstr>http://harrowhub/downloads/file/5271/key_decisions_schedule_proforma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TO BE USED FOR KEY DECISION ONLY TO BE TAKEN BY THE LEADER</dc:title>
  <dc:creator>DGhelani</dc:creator>
  <cp:lastModifiedBy>Nikoleta Nikolova</cp:lastModifiedBy>
  <cp:revision>5</cp:revision>
  <cp:lastPrinted>2014-11-11T15:12:00Z</cp:lastPrinted>
  <dcterms:created xsi:type="dcterms:W3CDTF">2021-02-10T15:37:00Z</dcterms:created>
  <dcterms:modified xsi:type="dcterms:W3CDTF">2021-02-10T16:08:00Z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0x010100004080336AF95647B3028E8783ACE5B3</vt:lpwstr>
  </property>
</Properties>
</file>